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rPr>
          <w:rFonts w:hint="default" w:ascii="Arial" w:hAnsi="Arial" w:eastAsia="宋体" w:cs="Arial"/>
          <w:bCs/>
          <w:szCs w:val="20"/>
          <w:lang w:val="en-US" w:eastAsia="zh-CN"/>
        </w:rPr>
      </w:pPr>
      <w:r>
        <w:rPr>
          <w:rFonts w:ascii="Arial" w:hAnsi="Arial" w:eastAsia="Times New Roman" w:cs="Arial"/>
          <w:bCs/>
          <w:szCs w:val="20"/>
          <w:lang w:eastAsia="en-GB"/>
        </w:rPr>
        <w:t>3GPP TSG-RAN WG3 Meeting #12</w:t>
      </w:r>
      <w:r>
        <w:rPr>
          <w:rFonts w:hint="eastAsia" w:ascii="Arial" w:hAnsi="Arial" w:eastAsia="宋体" w:cs="Arial"/>
          <w:bCs/>
          <w:szCs w:val="20"/>
          <w:lang w:val="en-US" w:eastAsia="zh-CN"/>
        </w:rPr>
        <w:t xml:space="preserve">9Bis                           </w:t>
      </w:r>
      <w:r>
        <w:rPr>
          <w:rFonts w:hint="eastAsia" w:ascii="Arial" w:hAnsi="Arial" w:eastAsia="Times New Roman" w:cs="Arial"/>
          <w:bCs/>
          <w:szCs w:val="20"/>
          <w:lang w:eastAsia="en-GB"/>
        </w:rPr>
        <w:t>R3-256755</w:t>
      </w:r>
    </w:p>
    <w:p>
      <w:pPr>
        <w:pStyle w:val="45"/>
        <w:rPr>
          <w:rFonts w:ascii="Arial" w:hAnsi="Arial" w:cs="Arial" w:eastAsiaTheme="minorEastAsia"/>
          <w:bCs/>
          <w:szCs w:val="20"/>
          <w:lang w:eastAsia="zh-CN"/>
        </w:rPr>
      </w:pPr>
      <w:r>
        <w:rPr>
          <w:rFonts w:hint="eastAsia" w:ascii="Arial" w:hAnsi="Arial" w:eastAsia="宋体" w:cs="Arial"/>
          <w:bCs/>
          <w:szCs w:val="20"/>
          <w:lang w:val="en-US" w:eastAsia="zh-CN"/>
        </w:rPr>
        <w:t>Prague</w:t>
      </w:r>
      <w:r>
        <w:rPr>
          <w:rFonts w:ascii="Arial" w:hAnsi="Arial" w:eastAsia="Times New Roman" w:cs="Arial"/>
          <w:bCs/>
          <w:szCs w:val="20"/>
          <w:lang w:eastAsia="en-GB"/>
        </w:rPr>
        <w:t xml:space="preserve">, </w:t>
      </w:r>
      <w:r>
        <w:rPr>
          <w:rFonts w:hint="eastAsia" w:ascii="Arial" w:hAnsi="Arial" w:eastAsia="宋体" w:cs="Arial"/>
          <w:bCs/>
          <w:szCs w:val="20"/>
          <w:lang w:val="en-US" w:eastAsia="zh-CN"/>
        </w:rPr>
        <w:t>Czech</w:t>
      </w:r>
      <w:r>
        <w:rPr>
          <w:rFonts w:ascii="Arial" w:hAnsi="Arial" w:eastAsia="Times New Roman" w:cs="Arial"/>
          <w:bCs/>
          <w:szCs w:val="20"/>
          <w:lang w:eastAsia="en-GB"/>
        </w:rPr>
        <w:t xml:space="preserve">, </w:t>
      </w:r>
      <w:r>
        <w:rPr>
          <w:rFonts w:hint="eastAsia" w:ascii="Arial" w:hAnsi="Arial" w:eastAsia="宋体" w:cs="Arial"/>
          <w:bCs/>
          <w:szCs w:val="20"/>
          <w:lang w:val="en-US" w:eastAsia="zh-CN"/>
        </w:rPr>
        <w:t>Oct 13</w:t>
      </w:r>
      <w:r>
        <w:rPr>
          <w:rFonts w:hint="eastAsia" w:ascii="Arial" w:hAnsi="Arial" w:eastAsia="宋体" w:cs="Arial"/>
          <w:bCs/>
          <w:szCs w:val="20"/>
          <w:lang w:eastAsia="zh-CN"/>
        </w:rPr>
        <w:t xml:space="preserve"> </w:t>
      </w:r>
      <w:r>
        <w:rPr>
          <w:rFonts w:ascii="Arial" w:hAnsi="Arial" w:eastAsia="Times New Roman" w:cs="Arial"/>
          <w:bCs/>
          <w:szCs w:val="20"/>
          <w:lang w:eastAsia="en-GB"/>
        </w:rPr>
        <w:t>–</w:t>
      </w:r>
      <w:r>
        <w:rPr>
          <w:rFonts w:hint="eastAsia" w:ascii="Arial" w:hAnsi="Arial" w:eastAsia="宋体" w:cs="Arial"/>
          <w:bCs/>
          <w:szCs w:val="20"/>
          <w:lang w:val="en-US" w:eastAsia="zh-CN"/>
        </w:rPr>
        <w:t xml:space="preserve"> 17</w:t>
      </w:r>
      <w:r>
        <w:rPr>
          <w:rFonts w:ascii="Arial" w:hAnsi="Arial" w:eastAsia="Times New Roman" w:cs="Arial"/>
          <w:bCs/>
          <w:szCs w:val="20"/>
          <w:lang w:eastAsia="en-GB"/>
        </w:rPr>
        <w:t>, 2025</w:t>
      </w:r>
      <w:bookmarkStart w:id="3" w:name="_GoBack"/>
      <w:bookmarkEnd w:id="3"/>
    </w:p>
    <w:p>
      <w:pPr>
        <w:pStyle w:val="45"/>
        <w:rPr>
          <w:rFonts w:hint="default" w:eastAsia="宋体"/>
          <w:lang w:val="en-US" w:eastAsia="zh-CN"/>
        </w:rPr>
      </w:pPr>
      <w:r>
        <w:t>Agenda Item:</w:t>
      </w:r>
      <w:r>
        <w:tab/>
      </w:r>
      <w:r>
        <w:rPr>
          <w:rFonts w:hint="eastAsia" w:eastAsia="宋体"/>
          <w:lang w:val="en-US" w:eastAsia="zh-CN"/>
        </w:rPr>
        <w:t>10.2.1</w:t>
      </w:r>
    </w:p>
    <w:p>
      <w:pPr>
        <w:pStyle w:val="45"/>
        <w:rPr>
          <w:rFonts w:hint="eastAsia" w:eastAsia="宋体"/>
          <w:lang w:eastAsia="zh-CN"/>
        </w:rPr>
      </w:pPr>
      <w:r>
        <w:t>Source:</w:t>
      </w:r>
      <w:r>
        <w:tab/>
      </w:r>
      <w:r>
        <w:rPr>
          <w:rFonts w:hint="eastAsia" w:eastAsia="宋体"/>
          <w:lang w:eastAsia="zh-CN"/>
        </w:rPr>
        <w:t>ZTE Corporation</w:t>
      </w:r>
    </w:p>
    <w:p>
      <w:pPr>
        <w:pStyle w:val="45"/>
        <w:rPr>
          <w:rFonts w:hint="default" w:eastAsia="宋体"/>
          <w:lang w:val="en-US" w:eastAsia="zh-CN"/>
        </w:rPr>
      </w:pPr>
      <w:r>
        <w:rPr>
          <w:lang w:val="en-GB"/>
        </w:rPr>
        <w:t>Title:</w:t>
      </w:r>
      <w:r>
        <w:rPr>
          <w:lang w:val="en-GB"/>
        </w:rPr>
        <w:tab/>
      </w:r>
      <w:r>
        <w:rPr>
          <w:rFonts w:hint="eastAsia" w:eastAsia="宋体"/>
          <w:lang w:val="en-US" w:eastAsia="zh-CN"/>
        </w:rPr>
        <w:t>General principles and requirements</w:t>
      </w:r>
    </w:p>
    <w:p>
      <w:pPr>
        <w:pStyle w:val="45"/>
      </w:pPr>
      <w:r>
        <w:t>Document for:</w:t>
      </w:r>
      <w:r>
        <w:tab/>
      </w:r>
      <w:r>
        <w:t>Approval</w:t>
      </w:r>
    </w:p>
    <w:p>
      <w:pPr>
        <w:pStyle w:val="6"/>
      </w:pPr>
      <w:r>
        <w:rPr>
          <w:rFonts w:hint="eastAsia" w:eastAsia="宋体"/>
          <w:lang w:val="en-US" w:eastAsia="zh-CN"/>
        </w:rPr>
        <w:t>Introduction</w:t>
      </w:r>
    </w:p>
    <w:p>
      <w:pPr>
        <w:pStyle w:val="2"/>
        <w:ind w:left="0" w:firstLine="0"/>
        <w:rPr>
          <w:rFonts w:hint="default" w:eastAsia="宋体"/>
          <w:lang w:val="en-US" w:eastAsia="zh-CN"/>
        </w:rPr>
      </w:pPr>
      <w:r>
        <w:rPr>
          <w:rFonts w:hint="eastAsia" w:eastAsia="宋体"/>
          <w:lang w:val="en-US" w:eastAsia="zh-CN"/>
        </w:rPr>
        <w:t>In the Rel-20 WID in RP-251869, the following objective was identified.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31" w:type="dxa"/>
          </w:tcPr>
          <w:p>
            <w:pPr>
              <w:spacing w:before="120" w:line="280" w:lineRule="atLeast"/>
              <w:rPr>
                <w:rFonts w:eastAsia="宋体"/>
              </w:rPr>
            </w:pPr>
            <w:bookmarkStart w:id="0" w:name="OLE_LINK17"/>
            <w:bookmarkStart w:id="1" w:name="OLE_LINK31"/>
            <w:r>
              <w:rPr>
                <w:rFonts w:eastAsia="宋体"/>
              </w:rPr>
              <w:t>- MRO enhancement for R1</w:t>
            </w:r>
            <w:r>
              <w:rPr>
                <w:rFonts w:hint="eastAsia" w:eastAsia="宋体"/>
              </w:rPr>
              <w:t>9</w:t>
            </w:r>
            <w:r>
              <w:rPr>
                <w:rFonts w:eastAsia="宋体"/>
              </w:rPr>
              <w:t xml:space="preserve"> mobility mechanisms, including</w:t>
            </w:r>
            <w:r>
              <w:rPr>
                <w:rFonts w:hint="eastAsia"/>
              </w:rPr>
              <w:t xml:space="preserve"> </w:t>
            </w:r>
            <w:r>
              <w:rPr>
                <w:rFonts w:hint="eastAsia" w:eastAsia="宋体"/>
              </w:rPr>
              <w:t>inter-CU LTM and intra-CU conditional LTM</w:t>
            </w:r>
            <w:r>
              <w:rPr>
                <w:rFonts w:eastAsia="宋体"/>
              </w:rPr>
              <w:t xml:space="preserve"> [RAN3, RAN2]:</w:t>
            </w:r>
          </w:p>
          <w:p>
            <w:pPr>
              <w:pStyle w:val="40"/>
              <w:numPr>
                <w:ilvl w:val="0"/>
                <w:numId w:val="5"/>
              </w:numPr>
              <w:spacing w:before="120" w:line="280" w:lineRule="atLeast"/>
              <w:rPr>
                <w:rFonts w:ascii="Times New Roman" w:hAnsi="Times New Roman" w:eastAsia="宋体" w:cs="Times New Roman"/>
              </w:rPr>
            </w:pPr>
            <w:r>
              <w:rPr>
                <w:rFonts w:ascii="Times New Roman" w:hAnsi="Times New Roman" w:eastAsia="宋体" w:cs="Times New Roman"/>
              </w:rPr>
              <w:t xml:space="preserve">Specification of the inter-node information exchange, including possible enhancements </w:t>
            </w:r>
            <w:r>
              <w:rPr>
                <w:rFonts w:hint="eastAsia" w:ascii="Times New Roman" w:hAnsi="Times New Roman" w:eastAsia="宋体" w:cs="Times New Roman"/>
              </w:rPr>
              <w:t>on the existing</w:t>
            </w:r>
            <w:r>
              <w:rPr>
                <w:rFonts w:ascii="Times New Roman" w:hAnsi="Times New Roman" w:eastAsia="宋体" w:cs="Times New Roman"/>
              </w:rPr>
              <w:t xml:space="preserve"> interfaces [RAN3]</w:t>
            </w:r>
          </w:p>
          <w:p>
            <w:pPr>
              <w:pStyle w:val="40"/>
              <w:numPr>
                <w:ilvl w:val="0"/>
                <w:numId w:val="5"/>
              </w:numPr>
              <w:spacing w:before="120" w:line="280" w:lineRule="atLeast"/>
              <w:rPr>
                <w:rFonts w:hint="default" w:eastAsia="宋体"/>
                <w:vertAlign w:val="baseline"/>
                <w:lang w:val="en-US" w:eastAsia="zh-CN"/>
              </w:rPr>
            </w:pPr>
            <w:r>
              <w:rPr>
                <w:rFonts w:hint="eastAsia" w:ascii="Times New Roman" w:hAnsi="Times New Roman" w:eastAsia="宋体" w:cs="Times New Roman"/>
              </w:rPr>
              <w:t>Identify and specify necessary UE reporting to enhance the mobility parameter tuning</w:t>
            </w:r>
            <w:r>
              <w:rPr>
                <w:rFonts w:ascii="Times New Roman" w:hAnsi="Times New Roman" w:eastAsia="宋体" w:cs="Times New Roman"/>
              </w:rPr>
              <w:t> [RAN2]</w:t>
            </w:r>
            <w:bookmarkEnd w:id="0"/>
            <w:bookmarkEnd w:id="1"/>
          </w:p>
        </w:tc>
      </w:tr>
    </w:tbl>
    <w:p>
      <w:pPr>
        <w:pStyle w:val="2"/>
        <w:ind w:left="0" w:firstLine="0"/>
        <w:rPr>
          <w:rFonts w:hint="eastAsia" w:eastAsia="宋体"/>
          <w:lang w:val="en-US" w:eastAsia="zh-CN"/>
        </w:rPr>
      </w:pPr>
    </w:p>
    <w:p>
      <w:pPr>
        <w:pStyle w:val="2"/>
        <w:ind w:left="0" w:firstLine="0"/>
        <w:rPr>
          <w:rFonts w:hint="default" w:cs="Calibri"/>
          <w:bCs/>
          <w:color w:val="0000FF"/>
          <w:sz w:val="18"/>
          <w:lang w:val="en-US"/>
        </w:rPr>
      </w:pPr>
      <w:r>
        <w:rPr>
          <w:rFonts w:hint="eastAsia" w:eastAsia="宋体"/>
          <w:lang w:val="en-US" w:eastAsia="zh-CN"/>
        </w:rPr>
        <w:t>This contribution provide our initial views focus on MRO for inter-CU LTM.</w:t>
      </w:r>
    </w:p>
    <w:p>
      <w:pPr>
        <w:pStyle w:val="6"/>
        <w:spacing w:line="259" w:lineRule="auto"/>
        <w:rPr>
          <w:rFonts w:eastAsiaTheme="minorEastAsia"/>
          <w:lang w:eastAsia="zh-CN"/>
        </w:rPr>
      </w:pPr>
      <w:r>
        <w:t>Discussion</w:t>
      </w:r>
    </w:p>
    <w:p>
      <w:pPr>
        <w:pStyle w:val="7"/>
        <w:rPr>
          <w:lang w:eastAsia="zh-CN"/>
        </w:rPr>
      </w:pPr>
      <w:r>
        <w:rPr>
          <w:rFonts w:hint="eastAsia"/>
          <w:lang w:val="en-US" w:eastAsia="zh-CN"/>
        </w:rPr>
        <w:t>MRO for inter CU LTM</w:t>
      </w:r>
    </w:p>
    <w:p>
      <w:pPr>
        <w:pStyle w:val="2"/>
        <w:jc w:val="center"/>
      </w:pPr>
      <w:r>
        <w:drawing>
          <wp:inline distT="0" distB="0" distL="0" distR="0">
            <wp:extent cx="4664075" cy="5346700"/>
            <wp:effectExtent l="0" t="0" r="14605" b="2540"/>
            <wp:docPr id="6" name="Msc-generator signalling" descr="Msc-generator~|version=8.6.2~|lang=signalling~|size=1294x1483~|text=#This is the default signalling chart.~n#Edit and press F2 to see the result.~n#You can change the default chart~n#with the leftmost button on the Preferences pane of the ribbon.~n~nhscale=~qauto~q;~ndefstyle hgapa [text.gap.left=16, text.gap.right=16];~ndefstyle hgapb [text.gap.left=6, text.gap.right=6];~ndefstyle entity [text.font.face=~qArial~q, text.size.normal=14, text.wrap=no, text.bold=yes];~ndefstyle bs [text.font.face=~qArial~q, text.size.normal=13, vspacing=7, text.wrap=no, hgapb];~ndefstyle br [bs, line.corner=round];~ndefstyle ac [text.font.face=~qTimes~q, text.size.normal=15, text.italic=yes, vspacing=5, arrow.type=sharp, hgapa];~ndefstyle ad [vspacing=-5, arrow.type=sharp];~ndefstyle au [text.font.face=~qArial~q, text.size.normal=13, vspacing=5, hgapa];~ndefstyle n1 [text.font.face=~qArial~q, text.size.normal=13, vspacing=5, weak, text.italic=no, hgapa];~n~nm:UE;~ns:Source gNB;~n//t0:Target gNB-DU\n from source gNB;~nt:Target gNB;~nt1:Other potential\ntarget gNB(s);~na:AMF;~nu:UPF(s);~n~n|||;~nmark HPstart;~nm~l=~gs: User Data [au];~njoin s~l=~gu: User Data [au];~ns--a:0.Mobility control information provided by AMF [br];~nm--s:1.Measurement Control and Reports [br];~ns--s:2. LTM Decison [bs];~n//s-~gt0:3. UE CONTEXT MODIFICATION REQUEST [ac];~ns--s:3a.LTM configuration preparation for intra-gNB candidates [br];~ns-~gt:3. HANDOVER REQUEST [ac];~n//s-~gt [ad];~ns-~gt1:3. HANDOVER REQUEST [ac];~n//s-~gt1 [ad];~nt--t:4. Admission Control [bs];~nt1--t1:4. Admission Control [bs];~n//t0-~gs:5. UE CONTEXT MODIFICATION\nRESPONSE [ac];~nt-~gs:5. HANDOVER REQUEST\nACKNOWLEDGE [ac];~n//t-~gs[ad];~nt1-~gs:5. HANDOVER REQUEST ACKNOWLEDGE [ac];~n//t1-~gs[ad];~ns--s:6a.LTM configuration update for intra-gNB candidates [br];~n//s-~gt0:6. LTM CONFIGURATION UPDATE [ac];~ns~g~gt:6. LTM CONFIGURATION UPDATE [ac];~n//s-~gt [ad];~ns~g~gt1:6. LTM CONFIGURATION UPDATE [ac];~n//s-~gt1 [ad];~n~n//t0-~gs:7. LTM CONFIGURATION UPDATE ACKNOWLEDGE [ac];~nt~g~gs:7. LTM CONFIGURATION UPDATE ACKNOWLEDGE [ac];~n//t-~gs[ad];~nt1~g~gs:7. LTM CONFIGURATION UPDATE ACKNOWLEDGE [ac];~n//t1-~gs[ad];~n~n~ns-~gm:8. RRCReconfiguration [ac];~nm-~gs:9. RRCReconfigurationComplete [ac];~nmark HPend;~n~ns~g~gt:9a. EARLY STATUS TRANSFER [ac];~ns~g~gt1:9a. EARLY STATUS TRANSFER [ac];~n~nu=~gs:User Data [au];~njoin s=~gt1 [au];~n~nmark LEstart;~n~ns~g~gm:10a. PDCCH order [ac];~nm~g~gt:10. Early synchronization[ac];~ns~g~gm:10a. PDCCH order [ac];~nm~g~gt1:10. Early synchronization[ac];~nt~g~gs:11. TA INFORMATION TRANSFER[ac];~nt1~g~gs:11. TA INFORMATION TRANSFER[ac];~n~nmark LEend;~n~nm-~gs:12. L1 or L3 Measurement result[ac];~n~nmark LExstart;~n~ns--s:13. LTM execution[bs];~ns-~gm:14.Cell Switch Command[ac];~ns-~gt:15. CELL SWITCH NOTIFICATION[ac];~nm~l-~gt:16.UE access to the target cell[ac];~nmark LExend;~nt-~gs:17.HANDOVER SUCCESS[ac];~n~n~n~n//mark HEend;~ns~g~gt:18. SN STATUS TRANSFER [ac];~n~nu=~gs:User Data [au];~njoin s=~gt [au];~n~n~nm-~gt:19. RRCReconfigurationComplete[ac];~n~n~nm--u:Figure 9.2.3.2.1-1 step 9-11 [bs];~nt-~gt1:20. LTM CONFIGURATION UPDATE [ac];~nt1-~gt:21. LTM CONFIGURATION UPDATE ACKNOWLEDGE [ac];~nt~g~gs:22. UE CONTEXT RELEASE [ac];~n~n;~nmark HCend;~n|||;~n~nvertical brace HPstart-~gHPend:LTM Preparation/Configuration [n1];~nvertical brace LEstart-~gLEend:Early Synchronization [n1];~nvertical brace LExstart-~gLExend:LTM Execution [n1];~nvertical brace LExend-~gHCend:LTM Completion [n1];~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2~|lang=signalling~|size=1294x1483~|text=#This is the default signalling chart.~n#Edit and press F2 to see the result.~n#You can change the default chart~n#with the leftmost button on the Preferences pane of the ribbon.~n~nhscale=~qauto~q;~ndefstyle hgapa [text.gap.left=16, text.gap.right=16];~ndefstyle hgapb [text.gap.left=6, text.gap.right=6];~ndefstyle entity [text.font.face=~qArial~q, text.size.normal=14, text.wrap=no, text.bold=yes];~ndefstyle bs [text.font.face=~qArial~q, text.size.normal=13, vspacing=7, text.wrap=no, hgapb];~ndefstyle br [bs, line.corner=round];~ndefstyle ac [text.font.face=~qTimes~q, text.size.normal=15, text.italic=yes, vspacing=5, arrow.type=sharp, hgapa];~ndefstyle ad [vspacing=-5, arrow.type=sharp];~ndefstyle au [text.font.face=~qArial~q, text.size.normal=13, vspacing=5, hgapa];~ndefstyle n1 [text.font.face=~qArial~q, text.size.normal=13, vspacing=5, weak, text.italic=no, hgapa];~n~nm:UE;~ns:Source gNB;~n//t0:Target gNB-DU\n from source gNB;~nt:Target gNB;~nt1:Other potential\ntarget gNB(s);~na:AMF;~nu:UPF(s);~n~n|||;~nmark HPstart;~nm~l=~gs: User Data [au];~njoin s~l=~gu: User Data [au];~ns--a:0.Mobility control information provided by AMF [br];~nm--s:1.Measurement Control and Reports [br];~ns--s:2. LTM Decison [bs];~n//s-~gt0:3. UE CONTEXT MODIFICATION REQUEST [ac];~ns--s:3a.LTM configuration preparation for intra-gNB candidates [br];~ns-~gt:3. HANDOVER REQUEST [ac];~n//s-~gt [ad];~ns-~gt1:3. HANDOVER REQUEST [ac];~n//s-~gt1 [ad];~nt--t:4. Admission Control [bs];~nt1--t1:4. Admission Control [bs];~n//t0-~gs:5. UE CONTEXT MODIFICATION\nRESPONSE [ac];~nt-~gs:5. HANDOVER REQUEST\nACKNOWLEDGE [ac];~n//t-~gs[ad];~nt1-~gs:5. HANDOVER REQUEST ACKNOWLEDGE [ac];~n//t1-~gs[ad];~ns--s:6a.LTM configuration update for intra-gNB candidates [br];~n//s-~gt0:6. LTM CONFIGURATION UPDATE [ac];~ns~g~gt:6. LTM CONFIGURATION UPDATE [ac];~n//s-~gt [ad];~ns~g~gt1:6. LTM CONFIGURATION UPDATE [ac];~n//s-~gt1 [ad];~n~n//t0-~gs:7. LTM CONFIGURATION UPDATE ACKNOWLEDGE [ac];~nt~g~gs:7. LTM CONFIGURATION UPDATE ACKNOWLEDGE [ac];~n//t-~gs[ad];~nt1~g~gs:7. LTM CONFIGURATION UPDATE ACKNOWLEDGE [ac];~n//t1-~gs[ad];~n~n~ns-~gm:8. RRCReconfiguration [ac];~nm-~gs:9. RRCReconfigurationComplete [ac];~nmark HPend;~n~ns~g~gt:9a. EARLY STATUS TRANSFER [ac];~ns~g~gt1:9a. EARLY STATUS TRANSFER [ac];~n~nu=~gs:User Data [au];~njoin s=~gt1 [au];~n~nmark LEstart;~n~ns~g~gm:10a. PDCCH order [ac];~nm~g~gt:10. Early synchronization[ac];~ns~g~gm:10a. PDCCH order [ac];~nm~g~gt1:10. Early synchronization[ac];~nt~g~gs:11. TA INFORMATION TRANSFER[ac];~nt1~g~gs:11. TA INFORMATION TRANSFER[ac];~n~nmark LEend;~n~nm-~gs:12. L1 or L3 Measurement result[ac];~n~nmark LExstart;~n~ns--s:13. LTM execution[bs];~ns-~gm:14.Cell Switch Command[ac];~ns-~gt:15. CELL SWITCH NOTIFICATION[ac];~nm~l-~gt:16.UE access to the target cell[ac];~nmark LExend;~nt-~gs:17.HANDOVER SUCCESS[ac];~n~n~n~n//mark HEend;~ns~g~gt:18. SN STATUS TRANSFER [ac];~n~nu=~gs:User Data [au];~njoin s=~gt [au];~n~n~nm-~gt:19. RRCReconfigurationComplete[ac];~n~n~nm--u:Figure 9.2.3.2.1-1 step 9-11 [bs];~nt-~gt1:20. LTM CONFIGURATION UPDATE [ac];~nt1-~gt:21. LTM CONFIGURATION UPDATE ACKNOWLEDGE [ac];~nt~g~gs:22. UE CONTEXT RELEASE [ac];~n~n;~nmark HCend;~n|||;~n~nvertical brace HPstart-~gHPend:LTM Preparation/Configuration [n1];~nvertical brace LEstart-~gLEend:Early Synchronization [n1];~nvertical brace LExstart-~gLExend:LTM Execution [n1];~nvertical brace LExend-~gHCend:LTM Completion [n1];~n~|"/>
                    <pic:cNvPicPr>
                      <a:picLocks noChangeAspect="1"/>
                    </pic:cNvPicPr>
                  </pic:nvPicPr>
                  <pic:blipFill>
                    <a:blip r:embed="rId5"/>
                    <a:stretch>
                      <a:fillRect/>
                    </a:stretch>
                  </pic:blipFill>
                  <pic:spPr>
                    <a:xfrm>
                      <a:off x="0" y="0"/>
                      <a:ext cx="4664075" cy="5346700"/>
                    </a:xfrm>
                    <a:prstGeom prst="rect">
                      <a:avLst/>
                    </a:prstGeom>
                  </pic:spPr>
                </pic:pic>
              </a:graphicData>
            </a:graphic>
          </wp:inline>
        </w:drawing>
      </w:r>
    </w:p>
    <w:p>
      <w:pPr>
        <w:pStyle w:val="2"/>
      </w:pPr>
    </w:p>
    <w:p>
      <w:pPr>
        <w:pStyle w:val="2"/>
        <w:ind w:left="0" w:firstLine="0"/>
        <w:rPr>
          <w:rFonts w:hint="eastAsia" w:eastAsia="宋体"/>
          <w:lang w:val="en-US" w:eastAsia="zh-CN"/>
        </w:rPr>
      </w:pPr>
      <w:r>
        <w:rPr>
          <w:rFonts w:hint="eastAsia" w:eastAsia="宋体"/>
          <w:lang w:val="en-US" w:eastAsia="zh-CN"/>
        </w:rPr>
        <w:t xml:space="preserve">L1/L2 Triggered Mobility (LTM) is a cell switch procedure that the network triggers via a MAC Control Element (MAC CE) based on Layer 1 (L1) or Layer 3 (L3) measurement reports received from a User Equipment (UE). The MAC CE command indicates an LTM candidate configuration that the gNB has previously prepared and provided to the UE through Radio Resource Control (RRC) signaling. LTM is designed to offer lower latency and shorter interruption times compared to Layer 3 based mobility. Security keys can be either maintained or changed upon an LTM cell switch, based on network indication, and subsequent LTM is supported. </w:t>
      </w:r>
    </w:p>
    <w:p>
      <w:pPr>
        <w:pStyle w:val="2"/>
        <w:ind w:left="0" w:firstLine="0"/>
        <w:rPr>
          <w:rFonts w:hint="eastAsia" w:eastAsia="宋体"/>
          <w:lang w:val="en-US" w:eastAsia="zh-CN"/>
        </w:rPr>
      </w:pPr>
      <w:r>
        <w:rPr>
          <w:rFonts w:hint="eastAsia" w:eastAsia="宋体"/>
          <w:lang w:val="en-US" w:eastAsia="zh-CN"/>
        </w:rPr>
        <w:t>Intra-CU LTM refers to mobility where the UE moves between cells within the same gNB. This can occur either within the same gNB-DU or between different gNB-DUs belonging to the same gNB-CU.</w:t>
      </w:r>
    </w:p>
    <w:p>
      <w:pPr>
        <w:pStyle w:val="2"/>
        <w:ind w:left="0" w:firstLine="0"/>
        <w:rPr>
          <w:rFonts w:hint="eastAsia" w:eastAsia="宋体"/>
          <w:lang w:val="en-US" w:eastAsia="zh-CN"/>
        </w:rPr>
      </w:pPr>
      <w:r>
        <w:rPr>
          <w:rFonts w:hint="eastAsia" w:eastAsia="宋体"/>
          <w:lang w:val="en-US" w:eastAsia="zh-CN"/>
        </w:rPr>
        <w:t xml:space="preserve">Inter-CU LTM enables mobility between cells of different gNBs, i.e., across gNB-CUs. In Rel-19, this functionality was introduced to remove limitations of LTM being restricted to a single gNB. Rel-19 supports inter-CU SCG LTM initiated by the Secondary Node (SN). </w:t>
      </w:r>
    </w:p>
    <w:p>
      <w:pPr>
        <w:pStyle w:val="2"/>
        <w:ind w:left="0" w:firstLine="0"/>
      </w:pPr>
      <w:r>
        <w:t xml:space="preserve">When LTM occurs between different gNBs, meaning across different gNB-CUs, the control plane communication primarily utilizes the XnAP interface. The source gNB-CU (Master Node in DC scenarios) employs XnAP messages like HANDOVER REQUEST to negotiate and obtain LTM configurations from other gNB-CU(s) (candidate gNBs). Rel-19 has introduced new XnAP procedures to facilitate inter-CU LTM, including LTM Configuration Update, Cell Switch Notification, TA Information Transfer, and CSI-RS Coordination. </w:t>
      </w:r>
    </w:p>
    <w:p>
      <w:pPr>
        <w:pStyle w:val="2"/>
        <w:ind w:left="0" w:firstLine="0"/>
      </w:pPr>
      <w:r>
        <w:t xml:space="preserve">Rel-19 specifically enhances LTM to support DC scenarios across gNBs, bolstering NR mobility. Key aspects include: </w:t>
      </w:r>
    </w:p>
    <w:p>
      <w:pPr>
        <w:pStyle w:val="2"/>
        <w:ind w:left="0" w:firstLine="0"/>
      </w:pPr>
      <w:r>
        <w:t xml:space="preserve">Inter-CU MCG LTM: Support is available for inter-CU MCG LTM with intra-SN PSCell change. </w:t>
      </w:r>
    </w:p>
    <w:p>
      <w:pPr>
        <w:pStyle w:val="2"/>
        <w:ind w:left="0" w:firstLine="0"/>
      </w:pPr>
      <w:r>
        <w:t>Inter-CU SCG LTM: Support is provided for SN-initiated inter-CU SCG LTM. For this, the SCPAC (Security Context for PSCell ACtivation/Change) security key update mechanism is used as a baseline.</w:t>
      </w:r>
    </w:p>
    <w:p>
      <w:pPr>
        <w:pStyle w:val="2"/>
        <w:ind w:left="0" w:firstLine="0"/>
      </w:pPr>
      <w:r>
        <w:t>Coexistence Scenarios: Rel-19 explicitly supports the coexistence of inter-CU LTM with intra-CU LTM. Examples include Intra-CU MCG LTM + Inter-CU MCG LTM and Intra-CU SCG LTM + Inter-CU SCG LTM. In such scenarios, the network is responsible for ensuring that the maintained LTM candidate configurations remain valid.</w:t>
      </w:r>
    </w:p>
    <w:p>
      <w:pPr>
        <w:pStyle w:val="2"/>
        <w:ind w:left="0" w:firstLine="0"/>
        <w:rPr>
          <w:rFonts w:hint="default" w:eastAsia="宋体"/>
          <w:b/>
          <w:bCs/>
          <w:lang w:val="en-US" w:eastAsia="zh-CN"/>
        </w:rPr>
      </w:pPr>
      <w:r>
        <w:rPr>
          <w:rFonts w:hint="eastAsia" w:eastAsia="宋体"/>
          <w:b/>
          <w:bCs/>
          <w:lang w:val="en-US" w:eastAsia="zh-CN"/>
        </w:rPr>
        <w:t xml:space="preserve">Proposal 1: RAN3 to work on MRO for </w:t>
      </w:r>
      <w:r>
        <w:rPr>
          <w:b/>
          <w:bCs/>
        </w:rPr>
        <w:t>Inter-CU MCG LTM</w:t>
      </w:r>
      <w:r>
        <w:rPr>
          <w:rFonts w:hint="eastAsia" w:eastAsia="宋体"/>
          <w:b/>
          <w:bCs/>
          <w:lang w:val="en-US" w:eastAsia="zh-CN"/>
        </w:rPr>
        <w:t xml:space="preserve">, </w:t>
      </w:r>
      <w:r>
        <w:rPr>
          <w:b/>
          <w:bCs/>
        </w:rPr>
        <w:t>SN-initiated inter-CU SCG LTM</w:t>
      </w:r>
      <w:r>
        <w:rPr>
          <w:rFonts w:hint="eastAsia" w:eastAsia="宋体"/>
          <w:b/>
          <w:bCs/>
          <w:lang w:val="en-US" w:eastAsia="zh-CN"/>
        </w:rPr>
        <w:t xml:space="preserve"> and take into account </w:t>
      </w:r>
      <w:r>
        <w:rPr>
          <w:b/>
          <w:bCs/>
        </w:rPr>
        <w:t>coexistence of inter-CU LTM with intra-CU LTM</w:t>
      </w:r>
      <w:r>
        <w:rPr>
          <w:rFonts w:hint="eastAsia" w:eastAsia="宋体"/>
          <w:b/>
          <w:bCs/>
          <w:lang w:val="en-US" w:eastAsia="zh-CN"/>
        </w:rPr>
        <w:t>. And failure case and near failure case should be considered in Rel-20.</w:t>
      </w:r>
    </w:p>
    <w:p>
      <w:pPr>
        <w:pStyle w:val="7"/>
        <w:rPr>
          <w:lang w:eastAsia="zh-CN"/>
        </w:rPr>
      </w:pPr>
      <w:r>
        <w:rPr>
          <w:rFonts w:hint="eastAsia"/>
          <w:lang w:val="en-US" w:eastAsia="zh-CN"/>
        </w:rPr>
        <w:t>R20 MRO User case</w:t>
      </w:r>
    </w:p>
    <w:p>
      <w:pPr>
        <w:rPr>
          <w:rFonts w:hint="default"/>
          <w:lang w:val="en-US" w:eastAsia="zh-CN"/>
        </w:rPr>
      </w:pPr>
      <w:r>
        <w:rPr>
          <w:rFonts w:hint="eastAsia"/>
          <w:lang w:val="en-US" w:eastAsia="zh-CN"/>
        </w:rPr>
        <w:t>During Rel-19 SON, RAN3 a</w:t>
      </w:r>
      <w:r>
        <w:rPr>
          <w:rFonts w:hint="eastAsia" w:eastAsia="Times New Roman" w:cs="Times New Roman"/>
          <w:lang w:val="en-US" w:eastAsia="zh-CN"/>
        </w:rPr>
        <w:t>gree to use RAN2#125-bis agreement on MRO for LTM scenarios as baseline. It is straightforward to consider these user case for inter-CU LTM.</w:t>
      </w:r>
    </w:p>
    <w:p>
      <w:pPr>
        <w:pStyle w:val="8"/>
        <w:bidi w:val="0"/>
        <w:rPr>
          <w:lang w:eastAsia="ja-JP"/>
        </w:rPr>
      </w:pPr>
      <w:r>
        <w:rPr>
          <w:rFonts w:hint="eastAsia"/>
          <w:lang w:val="en-US" w:eastAsia="zh-CN"/>
        </w:rPr>
        <w:t>T</w:t>
      </w:r>
      <w:r>
        <w:rPr>
          <w:lang w:eastAsia="ja-JP"/>
        </w:rPr>
        <w:t>oo late LTM</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pStyle w:val="55"/>
              <w:tabs>
                <w:tab w:val="left" w:pos="360"/>
                <w:tab w:val="clear" w:pos="1619"/>
              </w:tabs>
              <w:ind w:left="360"/>
              <w:rPr>
                <w:color w:val="538135"/>
                <w:lang w:eastAsia="ja-JP"/>
              </w:rPr>
            </w:pPr>
            <w:r>
              <w:rPr>
                <w:color w:val="538135"/>
                <w:lang w:eastAsia="ja-JP"/>
              </w:rPr>
              <w:t>For too late LTM, the following sub-cases are considered but we may down prioritize later (not limiting):</w:t>
            </w:r>
          </w:p>
          <w:p>
            <w:pPr>
              <w:pStyle w:val="55"/>
              <w:numPr>
                <w:ilvl w:val="0"/>
                <w:numId w:val="0"/>
              </w:numPr>
              <w:tabs>
                <w:tab w:val="left" w:pos="720"/>
                <w:tab w:val="clear" w:pos="1619"/>
              </w:tabs>
              <w:ind w:left="360"/>
              <w:rPr>
                <w:color w:val="538135"/>
                <w:lang w:eastAsia="ja-JP"/>
              </w:rPr>
            </w:pPr>
            <w:r>
              <w:rPr>
                <w:color w:val="538135"/>
                <w:lang w:eastAsia="ja-JP"/>
              </w:rPr>
              <w:t>-</w:t>
            </w:r>
            <w:r>
              <w:rPr>
                <w:color w:val="538135"/>
                <w:lang w:eastAsia="ja-JP"/>
              </w:rPr>
              <w:tab/>
            </w:r>
            <w:r>
              <w:rPr>
                <w:color w:val="538135"/>
                <w:lang w:eastAsia="ja-JP"/>
              </w:rPr>
              <w:t>Case 1a: the UE detects RLF in source cell after receiving LTM candidate configurations and performs reestablishment procedure.</w:t>
            </w:r>
          </w:p>
          <w:p>
            <w:pPr>
              <w:pStyle w:val="55"/>
              <w:numPr>
                <w:ilvl w:val="0"/>
                <w:numId w:val="0"/>
              </w:numPr>
              <w:tabs>
                <w:tab w:val="left" w:pos="720"/>
                <w:tab w:val="clear" w:pos="1619"/>
              </w:tabs>
              <w:ind w:left="360"/>
              <w:rPr>
                <w:color w:val="538135"/>
                <w:lang w:eastAsia="ja-JP"/>
              </w:rPr>
            </w:pPr>
            <w:r>
              <w:rPr>
                <w:color w:val="538135"/>
                <w:lang w:eastAsia="ja-JP"/>
              </w:rPr>
              <w:t>-</w:t>
            </w:r>
            <w:r>
              <w:rPr>
                <w:color w:val="538135"/>
                <w:lang w:eastAsia="ja-JP"/>
              </w:rPr>
              <w:tab/>
            </w:r>
            <w:r>
              <w:rPr>
                <w:color w:val="538135"/>
                <w:lang w:eastAsia="ja-JP"/>
              </w:rPr>
              <w:t>Case 1b: the UE detects RLF in source cell after receiving LTM candidate configurations, selects an LTM candidate cell, detects HOF with the selected LTM cell.</w:t>
            </w:r>
          </w:p>
          <w:p>
            <w:pPr>
              <w:pStyle w:val="55"/>
              <w:numPr>
                <w:ilvl w:val="0"/>
                <w:numId w:val="0"/>
              </w:numPr>
              <w:tabs>
                <w:tab w:val="left" w:pos="720"/>
                <w:tab w:val="clear" w:pos="1619"/>
              </w:tabs>
              <w:ind w:left="360"/>
              <w:rPr>
                <w:color w:val="538135"/>
                <w:lang w:eastAsia="ja-JP"/>
              </w:rPr>
            </w:pPr>
            <w:r>
              <w:rPr>
                <w:color w:val="538135"/>
                <w:lang w:eastAsia="ja-JP"/>
              </w:rPr>
              <w:t>-</w:t>
            </w:r>
            <w:r>
              <w:rPr>
                <w:color w:val="538135"/>
                <w:lang w:eastAsia="ja-JP"/>
              </w:rPr>
              <w:tab/>
            </w:r>
            <w:r>
              <w:rPr>
                <w:color w:val="538135"/>
                <w:lang w:eastAsia="ja-JP"/>
              </w:rPr>
              <w:t>Case 1c: the UE detects RLF in source cell after receiving LTM candidate configurations, and successfully completes LTM execution with the selected LTM candidate cell.</w:t>
            </w:r>
          </w:p>
          <w:p>
            <w:pPr>
              <w:rPr>
                <w:vertAlign w:val="baseline"/>
                <w:lang w:eastAsia="ja-JP"/>
              </w:rPr>
            </w:pPr>
          </w:p>
        </w:tc>
      </w:tr>
    </w:tbl>
    <w:p>
      <w:pPr>
        <w:rPr>
          <w:rFonts w:hint="eastAsia" w:ascii="Times New Roman" w:hAnsi="Times New Roman" w:cs="Times New Roman"/>
          <w:lang w:val="en-US" w:eastAsia="zh-CN"/>
        </w:rPr>
      </w:pPr>
      <w:r>
        <w:rPr>
          <w:rFonts w:hint="eastAsia" w:ascii="Times New Roman" w:hAnsi="Times New Roman" w:cs="Times New Roman"/>
          <w:lang w:val="en-US" w:eastAsia="zh-CN"/>
        </w:rPr>
        <w:t xml:space="preserve">It is crucial to understand that Rel-19 explicitly introduces support for inter-gNB LTM, meaning LTM operations can occur between cells managed by different gNBs (i.e., across CUs). </w:t>
      </w:r>
    </w:p>
    <w:p>
      <w:pPr>
        <w:rPr>
          <w:rFonts w:hint="eastAsia" w:ascii="Times New Roman" w:hAnsi="Times New Roman" w:cs="Times New Roman"/>
          <w:lang w:val="en-US" w:eastAsia="zh-CN"/>
        </w:rPr>
      </w:pPr>
      <w:r>
        <w:rPr>
          <w:rFonts w:hint="eastAsia" w:ascii="Times New Roman" w:hAnsi="Times New Roman" w:cs="Times New Roman"/>
          <w:lang w:val="en-US" w:eastAsia="zh-CN"/>
        </w:rPr>
        <w:t>Rel-19 Definition of "Too Late LTM cell switch": This occurs when a UE's connection fails because the LTM cell switch happened too late. In such failure scenarios, the gNB-CU forwards the relevant RLF Report to the last serving gNB-DU for initial analysis.</w:t>
      </w:r>
    </w:p>
    <w:p>
      <w:pPr>
        <w:pStyle w:val="9"/>
        <w:bidi w:val="0"/>
        <w:rPr>
          <w:rFonts w:hint="eastAsia"/>
          <w:lang w:val="en-US" w:eastAsia="zh-CN"/>
        </w:rPr>
      </w:pPr>
      <w:r>
        <w:rPr>
          <w:rFonts w:hint="eastAsia"/>
          <w:lang w:val="en-US" w:eastAsia="zh-CN"/>
        </w:rPr>
        <w:t>Case 1a: The UE detects RLF in the source cell after receiving LTM candidate configurations and performs a reestablishment procedure.</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Receiving LTM Candidate Configurations: In an inter-gNB LTM procedure, the source gNB (via its gNB-CU) sends RRCReconfiguration messages to the UE, containing LTM candidate configurations. These configurations are derived from MeasurementReport (L3 measurement results) received from candidate gNBs.</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Detecting RLF in the Source Cell: This signifies that the LTM cell switch could not be successfully executed before the Radio Link Failure (RLF) occurred. Causes for RLF can include T310 timer expiry (in the source cell), random access problems, RLC maximum retransmission limit reached, or consistent uplink LBT failures.</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Performing Reestablishment Procedure: Upon RLF detection, the UE attempts to reestablish the radio link.</w:t>
      </w:r>
    </w:p>
    <w:p>
      <w:pPr>
        <w:pStyle w:val="2"/>
        <w:ind w:left="0" w:firstLine="0"/>
        <w:rPr>
          <w:rFonts w:ascii="Times New Roman" w:hAnsi="Times New Roman" w:eastAsia="Times New Roman" w:cs="Times New Roman"/>
        </w:rPr>
      </w:pPr>
      <w:r>
        <w:rPr>
          <w:rFonts w:ascii="Times New Roman" w:hAnsi="Times New Roman" w:eastAsia="Times New Roman" w:cs="Times New Roman"/>
        </w:rPr>
        <w:t>For MRO in inter-</w:t>
      </w:r>
      <w:r>
        <w:rPr>
          <w:rFonts w:hint="eastAsia" w:ascii="Times New Roman" w:hAnsi="Times New Roman" w:eastAsia="宋体" w:cs="Times New Roman"/>
          <w:lang w:val="en-US" w:eastAsia="zh-CN"/>
        </w:rPr>
        <w:t xml:space="preserve">CU </w:t>
      </w:r>
      <w:r>
        <w:rPr>
          <w:rFonts w:ascii="Times New Roman" w:hAnsi="Times New Roman" w:eastAsia="Times New Roman" w:cs="Times New Roman"/>
        </w:rPr>
        <w:t>LTM, LTM failure details, including the UE's RLF report content, can be effectively exchanged via the Xn interface between the source CU and the target CU.</w:t>
      </w:r>
    </w:p>
    <w:p>
      <w:pPr>
        <w:pStyle w:val="2"/>
        <w:ind w:left="0" w:firstLine="0"/>
      </w:pPr>
      <w:r>
        <w:rPr>
          <w:rFonts w:hint="eastAsia" w:ascii="Times New Roman" w:hAnsi="Times New Roman" w:eastAsia="宋体" w:cs="Times New Roman"/>
          <w:b/>
          <w:bCs/>
          <w:lang w:val="en-US" w:eastAsia="zh-CN"/>
        </w:rPr>
        <w:t xml:space="preserve">In conclusion, case 1a </w:t>
      </w:r>
      <w:r>
        <w:rPr>
          <w:b/>
          <w:bCs/>
        </w:rPr>
        <w:t>consistent with Rel-19's definitions of LTM failure detection and LTM procedures</w:t>
      </w:r>
      <w:r>
        <w:rPr>
          <w:rFonts w:hint="eastAsia" w:eastAsia="宋体"/>
          <w:b/>
          <w:bCs/>
          <w:lang w:val="en-US" w:eastAsia="zh-CN"/>
        </w:rPr>
        <w:t>.</w:t>
      </w:r>
      <w:r>
        <w:rPr>
          <w:rFonts w:ascii="Times New Roman" w:hAnsi="Times New Roman" w:eastAsia="Times New Roman" w:cs="Times New Roman"/>
        </w:rPr>
        <w:t xml:space="preserve"> </w:t>
      </w:r>
    </w:p>
    <w:p>
      <w:pPr>
        <w:pStyle w:val="9"/>
        <w:bidi w:val="0"/>
        <w:rPr>
          <w:rFonts w:hint="eastAsia"/>
          <w:lang w:val="en-US" w:eastAsia="zh-CN"/>
        </w:rPr>
      </w:pPr>
      <w:r>
        <w:rPr>
          <w:rFonts w:hint="eastAsia"/>
          <w:lang w:val="en-US" w:eastAsia="zh-CN"/>
        </w:rPr>
        <w:t>Case 1b: The UE detects RLF in the source cell after receiving LTM candidate configurations, selects an LTM candidate cell, and detects HOF with the selected LTM cell.</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This scenario represents a "Too Late LTM" leading to an RLF, followed by a failed LTM recovery attempt (Handover Failure).</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Receiving LTM Candidate Configurations &amp; Detecting RLF in the Source Cell: Same as Case 1a.</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Selecting an LTM Candidate Cell: After RLF, the UE may try to recover by switching to a pre-configured LTM candidate cell. </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Detecting HOF with the Selected LTM Cell: This means the UE attempted an LTM cell switch to the candidate cell, the cell belong to a different CU, but the switch procedure itself failed. A "Handover Failure" (HOF) is effectively a reconfiguration with sync failure. For instance, if the LTM execution fails, the UE performs reestablishment.</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For MRO for inter-CU LTM, a similar mechanism is needed in XnAP to pass information about LTM-initiated HOF, helping the network differentiate between pre-switch LTM trigger issues and in-switch execution problems (e.g., incorrect beam selection, outdated TA). </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b/>
          <w:bCs/>
          <w:lang w:val="en-US" w:eastAsia="zh-CN"/>
        </w:rPr>
        <w:t xml:space="preserve">In conclusion, case 1b </w:t>
      </w:r>
      <w:r>
        <w:rPr>
          <w:b/>
          <w:bCs/>
        </w:rPr>
        <w:t>consistent with Rel-19's definitions of LTM failure detection and LTM procedures</w:t>
      </w:r>
      <w:r>
        <w:rPr>
          <w:rFonts w:hint="eastAsia" w:eastAsia="宋体"/>
          <w:b/>
          <w:bCs/>
          <w:lang w:val="en-US" w:eastAsia="zh-CN"/>
        </w:rPr>
        <w:t>.</w:t>
      </w:r>
    </w:p>
    <w:p>
      <w:pPr>
        <w:pStyle w:val="9"/>
        <w:bidi w:val="0"/>
        <w:rPr>
          <w:rFonts w:hint="eastAsia"/>
          <w:lang w:val="en-US" w:eastAsia="zh-CN"/>
        </w:rPr>
      </w:pPr>
      <w:r>
        <w:rPr>
          <w:rFonts w:hint="eastAsia"/>
          <w:lang w:val="en-US" w:eastAsia="zh-CN"/>
        </w:rPr>
        <w:t>Case 1c: The UE detects RLF in the source cell after receiving LTM candidate configurations, and successfully completes LTM execution with the selected LTM candidate cell.</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Receiving LTM Candidate Configurations &amp; Detecting RLF in the Source Cell: Same as Case 1a. The RLF occurrence is still direct evidence of "Too Late LTM," indicating that LTM did not trigger proactively enough to avoid connection interruption.</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Successfully Completing LTM Execution: This refers to the successful completion of the random access procedure for RACH-based LTM in a different CU, or the successful reception of RRCReconfigurationComplete for RACH-less LTM. </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Even if the LTM execution is ultimately successful, the RLF in the source cell is a critical signal for MRO optimization. The network must identify and analyze these "successfully recovered too late LTM" cases to adjust LTM triggering conditions (e.g., initiate LTM before RLF occurs), thereby preventing future RLF instances entirely. </w:t>
      </w:r>
    </w:p>
    <w:p>
      <w:pPr>
        <w:pStyle w:val="2"/>
        <w:ind w:left="0" w:firstLine="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For MRO for inter-CU LTM, a similar mechanism is needed in XnAP to pass information about LTM-initiated HOF, helping the network differentiate between pre-switch LTM trigger issues and in-switch execution problems (e.g., incorrect beam selection, outdated TA)</w:t>
      </w:r>
    </w:p>
    <w:p>
      <w:pPr>
        <w:pStyle w:val="20"/>
        <w:keepNext w:val="0"/>
        <w:keepLines w:val="0"/>
        <w:widowControl/>
        <w:suppressLineNumbers w:val="0"/>
        <w:rPr>
          <w:lang w:eastAsia="ja-JP"/>
        </w:rPr>
      </w:pPr>
      <w:r>
        <w:rPr>
          <w:rFonts w:hint="eastAsia" w:ascii="Times New Roman" w:hAnsi="Times New Roman" w:eastAsia="宋体" w:cs="Times New Roman"/>
          <w:b/>
          <w:bCs/>
          <w:lang w:val="en-US" w:eastAsia="zh-CN"/>
        </w:rPr>
        <w:t xml:space="preserve">In conclusion, case 1c </w:t>
      </w:r>
      <w:r>
        <w:rPr>
          <w:b/>
          <w:bCs/>
        </w:rPr>
        <w:t>consistent with Rel-19's definitions of LTM failure detection and LTM procedures</w:t>
      </w:r>
      <w:r>
        <w:rPr>
          <w:rFonts w:hint="eastAsia" w:eastAsia="宋体"/>
          <w:b/>
          <w:bCs/>
          <w:lang w:val="en-US" w:eastAsia="zh-CN"/>
        </w:rPr>
        <w:t>.</w:t>
      </w:r>
    </w:p>
    <w:p>
      <w:pPr>
        <w:pStyle w:val="8"/>
        <w:bidi w:val="0"/>
        <w:rPr>
          <w:rFonts w:hint="eastAsia"/>
          <w:lang w:val="en-US" w:eastAsia="zh-CN"/>
        </w:rPr>
      </w:pPr>
      <w:r>
        <w:rPr>
          <w:rFonts w:hint="eastAsia"/>
          <w:lang w:val="en-US" w:eastAsia="zh-CN"/>
        </w:rPr>
        <w:t>Too early LTM</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pStyle w:val="55"/>
              <w:tabs>
                <w:tab w:val="left" w:pos="360"/>
                <w:tab w:val="clear" w:pos="1619"/>
              </w:tabs>
              <w:ind w:left="360"/>
              <w:rPr>
                <w:color w:val="538135"/>
                <w:lang w:eastAsia="ja-JP"/>
              </w:rPr>
            </w:pPr>
            <w:r>
              <w:rPr>
                <w:color w:val="538135"/>
                <w:lang w:eastAsia="ja-JP"/>
              </w:rPr>
              <w:t>For too early LTM, the following sub-cases are considered but we may down prioritize later (not limiting):</w:t>
            </w:r>
          </w:p>
          <w:p>
            <w:pPr>
              <w:pStyle w:val="55"/>
              <w:numPr>
                <w:ilvl w:val="0"/>
                <w:numId w:val="0"/>
              </w:numPr>
              <w:tabs>
                <w:tab w:val="left" w:pos="720"/>
                <w:tab w:val="clear" w:pos="1619"/>
              </w:tabs>
              <w:ind w:left="360"/>
              <w:rPr>
                <w:color w:val="538135"/>
                <w:lang w:eastAsia="ja-JP"/>
              </w:rPr>
            </w:pPr>
            <w:r>
              <w:rPr>
                <w:color w:val="538135"/>
                <w:lang w:eastAsia="ja-JP"/>
              </w:rPr>
              <w:t>-</w:t>
            </w:r>
            <w:r>
              <w:rPr>
                <w:color w:val="538135"/>
                <w:lang w:eastAsia="ja-JP"/>
              </w:rPr>
              <w:tab/>
            </w:r>
            <w:r>
              <w:rPr>
                <w:color w:val="538135"/>
                <w:lang w:eastAsia="ja-JP"/>
              </w:rPr>
              <w:t>Case 2a: the UE detects HOF/RLF in the LTM target cell and performs reestablishment procedure with the source cell.</w:t>
            </w:r>
          </w:p>
          <w:p>
            <w:pPr>
              <w:pStyle w:val="55"/>
              <w:numPr>
                <w:ilvl w:val="0"/>
                <w:numId w:val="0"/>
              </w:numPr>
              <w:tabs>
                <w:tab w:val="left" w:pos="720"/>
                <w:tab w:val="clear" w:pos="1619"/>
              </w:tabs>
              <w:ind w:left="360"/>
              <w:rPr>
                <w:color w:val="538135"/>
                <w:lang w:eastAsia="ja-JP"/>
              </w:rPr>
            </w:pPr>
            <w:r>
              <w:rPr>
                <w:color w:val="538135"/>
                <w:lang w:eastAsia="ja-JP"/>
              </w:rPr>
              <w:t>-</w:t>
            </w:r>
            <w:r>
              <w:rPr>
                <w:color w:val="538135"/>
                <w:lang w:eastAsia="ja-JP"/>
              </w:rPr>
              <w:tab/>
            </w:r>
            <w:r>
              <w:rPr>
                <w:color w:val="538135"/>
                <w:lang w:eastAsia="ja-JP"/>
              </w:rPr>
              <w:t>Case 2b: the UE detects HOF/RLF in the LTM target cell, selects the source cell which is also an LTM candidate cell, detects HOF with the source cell, and performs reestablishment procedure.</w:t>
            </w:r>
          </w:p>
          <w:p>
            <w:pPr>
              <w:pStyle w:val="55"/>
              <w:numPr>
                <w:ilvl w:val="0"/>
                <w:numId w:val="0"/>
              </w:numPr>
              <w:tabs>
                <w:tab w:val="left" w:pos="720"/>
                <w:tab w:val="clear" w:pos="1619"/>
              </w:tabs>
              <w:ind w:left="360"/>
              <w:rPr>
                <w:rFonts w:hint="eastAsia"/>
                <w:vertAlign w:val="baseline"/>
                <w:lang w:val="en-US" w:eastAsia="zh-CN"/>
              </w:rPr>
            </w:pPr>
            <w:r>
              <w:rPr>
                <w:color w:val="538135"/>
                <w:lang w:eastAsia="ja-JP"/>
              </w:rPr>
              <w:t>-</w:t>
            </w:r>
            <w:r>
              <w:rPr>
                <w:color w:val="538135"/>
                <w:lang w:eastAsia="ja-JP"/>
              </w:rPr>
              <w:tab/>
            </w:r>
            <w:r>
              <w:rPr>
                <w:color w:val="538135"/>
                <w:lang w:eastAsia="ja-JP"/>
              </w:rPr>
              <w:t>Case 2c: the UE detects HOF/RLF in the LTM target cell, and successfully completes LTM execution with the selected source cell which is also an LTM candidate cell.</w:t>
            </w:r>
          </w:p>
        </w:tc>
      </w:tr>
    </w:tbl>
    <w:p>
      <w:r>
        <w:rPr>
          <w:rFonts w:hint="eastAsia" w:ascii="Times New Roman" w:hAnsi="Times New Roman" w:cs="Times New Roman"/>
          <w:lang w:val="en-US" w:eastAsia="zh-CN"/>
        </w:rPr>
        <w:t>Rel-19 Definition of "Too Early LTM cell switch": This occurs when an RLF (Radio Link Failure) happens shortly after a successful LTM cell switch, or a HOF (Handover Failure) occurs during the LTM procedure. The UE then attempts to re-establish the radio link connection in the source cell. In such cases, the gNB-CU forwards the RLF report to the source gNB-DU for initial analysis.</w:t>
      </w:r>
    </w:p>
    <w:p>
      <w:pPr>
        <w:pStyle w:val="9"/>
        <w:bidi w:val="0"/>
        <w:rPr>
          <w:rFonts w:hint="eastAsia"/>
          <w:lang w:val="en-US" w:eastAsia="zh-CN"/>
        </w:rPr>
      </w:pPr>
      <w:r>
        <w:rPr>
          <w:rFonts w:hint="eastAsia"/>
          <w:lang w:val="en-US" w:eastAsia="zh-CN"/>
        </w:rPr>
        <w:t>Case 2a: The UE detects HOF/RLF in the LTM target cell and performs a reestablishment procedure with the source cell.</w:t>
      </w:r>
    </w:p>
    <w:p>
      <w:pPr>
        <w:rPr>
          <w:rFonts w:hint="eastAsia" w:ascii="Times New Roman" w:hAnsi="Times New Roman" w:cs="Times New Roman"/>
          <w:lang w:val="en-US" w:eastAsia="zh-CN"/>
        </w:rPr>
      </w:pPr>
      <w:r>
        <w:rPr>
          <w:rFonts w:hint="eastAsia" w:ascii="Times New Roman" w:hAnsi="Times New Roman" w:cs="Times New Roman"/>
          <w:lang w:val="en-US" w:eastAsia="zh-CN"/>
        </w:rPr>
        <w:t>This is a direct and typical scenario for a "Too Early LTM cell switch" in the inter-gNB context.</w:t>
      </w:r>
    </w:p>
    <w:p>
      <w:pPr>
        <w:rPr>
          <w:rFonts w:hint="eastAsia" w:ascii="Times New Roman" w:hAnsi="Times New Roman" w:cs="Times New Roman"/>
          <w:lang w:val="en-US" w:eastAsia="zh-CN"/>
        </w:rPr>
      </w:pPr>
      <w:r>
        <w:rPr>
          <w:rFonts w:hint="eastAsia" w:ascii="Times New Roman" w:hAnsi="Times New Roman" w:cs="Times New Roman"/>
          <w:lang w:val="en-US" w:eastAsia="zh-CN"/>
        </w:rPr>
        <w:t>LTM Execution &amp; Failure in Target Cell: After the source gNB sends the LTM cell switch command , the UE proceeds to execute the LTM cell switch towards the target cell. If, during or immediately after this switch, the UE experiences an RLF or HOF (i.e., reconfiguration with sync failure in the target cell, this aligns with the initial conditions of the "Too Early LTM" definition. The connectionFailureType in the RLF Report can be rlf or hof . The failedPCellId will indicate the LTM target cell.</w:t>
      </w:r>
    </w:p>
    <w:p>
      <w:pPr>
        <w:rPr>
          <w:rFonts w:hint="eastAsia" w:ascii="Times New Roman" w:hAnsi="Times New Roman" w:cs="Times New Roman"/>
          <w:lang w:val="en-US" w:eastAsia="zh-CN"/>
        </w:rPr>
      </w:pPr>
      <w:r>
        <w:rPr>
          <w:rFonts w:hint="eastAsia" w:ascii="Times New Roman" w:hAnsi="Times New Roman" w:cs="Times New Roman"/>
          <w:lang w:val="en-US" w:eastAsia="zh-CN"/>
        </w:rPr>
        <w:t xml:space="preserve">Reestablishment with the Source Cell: The crucial element for "Too Early LTM" is that the UE, after the failure in the target cell, attempts to re-establish its connection with the original source cell. This indicates that the LTM to the target cell was premature or the target cell was unsuitable. </w:t>
      </w:r>
    </w:p>
    <w:p>
      <w:pPr>
        <w:rPr>
          <w:rFonts w:hint="eastAsia" w:ascii="Times New Roman" w:hAnsi="Times New Roman" w:cs="Times New Roman"/>
          <w:lang w:val="en-US" w:eastAsia="zh-CN"/>
        </w:rPr>
      </w:pPr>
      <w:r>
        <w:rPr>
          <w:rFonts w:hint="eastAsia" w:ascii="Times New Roman" w:hAnsi="Times New Roman" w:cs="Times New Roman"/>
          <w:lang w:val="en-US" w:eastAsia="zh-CN"/>
        </w:rPr>
        <w:t>The source gNB-CU (which initiated the LTM) needs to receive the UE's RLF report. In an inter-gNB scenario, this RLF report (potentially including nrFailedPCellId and rlf-Cause) may first be received by the target gNB (if the UE failed shortly after accessing it) and then forwarded via XnAP Failure Indication message to the source gNB-CU.</w:t>
      </w:r>
    </w:p>
    <w:p>
      <w:pPr>
        <w:rPr>
          <w:rFonts w:hint="eastAsia" w:ascii="Times New Roman" w:hAnsi="Times New Roman" w:cs="Times New Roman"/>
          <w:lang w:val="en-US" w:eastAsia="zh-CN"/>
        </w:rPr>
      </w:pPr>
      <w:r>
        <w:rPr>
          <w:rFonts w:hint="eastAsia" w:ascii="Times New Roman" w:hAnsi="Times New Roman" w:cs="Times New Roman"/>
          <w:lang w:val="en-US" w:eastAsia="zh-CN"/>
        </w:rPr>
        <w:t>XnAP interfaces facilitate the accurate and timely exchange of these RLF/HOF reports, especially for cross-CU failures and reestablishments back to the source, to enable the source gNB-CU to diagnose the "Too Early LTM" issue and adjust LTM parameters.</w:t>
      </w:r>
    </w:p>
    <w:p>
      <w:pPr>
        <w:pStyle w:val="20"/>
        <w:keepNext w:val="0"/>
        <w:keepLines w:val="0"/>
        <w:widowControl/>
        <w:suppressLineNumbers w:val="0"/>
      </w:pPr>
      <w:r>
        <w:rPr>
          <w:rFonts w:hint="eastAsia" w:ascii="Times New Roman" w:hAnsi="Times New Roman" w:eastAsia="宋体" w:cs="Times New Roman"/>
          <w:b/>
          <w:bCs/>
          <w:lang w:val="en-US" w:eastAsia="zh-CN"/>
        </w:rPr>
        <w:t xml:space="preserve">In conclusion, case 2a </w:t>
      </w:r>
      <w:r>
        <w:rPr>
          <w:b/>
          <w:bCs/>
        </w:rPr>
        <w:t>consistent with Rel-19's definitions of LTM failure detection and LTM procedures</w:t>
      </w:r>
      <w:r>
        <w:rPr>
          <w:rFonts w:hint="eastAsia" w:eastAsia="宋体"/>
          <w:b/>
          <w:bCs/>
          <w:lang w:val="en-US" w:eastAsia="zh-CN"/>
        </w:rPr>
        <w:t>.</w:t>
      </w:r>
    </w:p>
    <w:p>
      <w:pPr>
        <w:pStyle w:val="9"/>
        <w:bidi w:val="0"/>
        <w:rPr>
          <w:rFonts w:hint="eastAsia"/>
          <w:lang w:val="en-US" w:eastAsia="zh-CN"/>
        </w:rPr>
      </w:pPr>
      <w:r>
        <w:rPr>
          <w:rFonts w:hint="eastAsia"/>
          <w:lang w:val="en-US" w:eastAsia="zh-CN"/>
        </w:rPr>
        <w:t>Case 2b: The UE detects HOF/RLF in the LTM target cell, selects the source cell which is also an LTM candidate cell, detects HOF with the source cell, and performs reestablishment procedure.</w:t>
      </w:r>
    </w:p>
    <w:p>
      <w:pPr>
        <w:rPr>
          <w:rFonts w:hint="eastAsia" w:ascii="Times New Roman" w:hAnsi="Times New Roman" w:cs="Times New Roman"/>
          <w:lang w:val="en-US" w:eastAsia="zh-CN"/>
        </w:rPr>
      </w:pPr>
      <w:r>
        <w:rPr>
          <w:rFonts w:hint="eastAsia" w:ascii="Times New Roman" w:hAnsi="Times New Roman" w:cs="Times New Roman"/>
          <w:lang w:val="en-US" w:eastAsia="zh-CN"/>
        </w:rPr>
        <w:t>This is a more complex variant of "Too Early LTM" where the initial LTM fails, the UE attempts to recover to the source cell, but even that recovery fails.</w:t>
      </w:r>
    </w:p>
    <w:p>
      <w:pPr>
        <w:rPr>
          <w:rFonts w:hint="eastAsia" w:ascii="Times New Roman" w:hAnsi="Times New Roman" w:cs="Times New Roman"/>
          <w:lang w:val="en-US" w:eastAsia="zh-CN"/>
        </w:rPr>
      </w:pPr>
      <w:r>
        <w:rPr>
          <w:rFonts w:hint="eastAsia" w:ascii="Times New Roman" w:hAnsi="Times New Roman" w:cs="Times New Roman"/>
          <w:lang w:val="en-US" w:eastAsia="zh-CN"/>
        </w:rPr>
        <w:t>LTM Execution &amp; Failure in Target Cell: Same as Case 2a. UE experiences RLF/HOF in the LTM target cell, which could be in another gNB.</w:t>
      </w:r>
    </w:p>
    <w:p>
      <w:pPr>
        <w:rPr>
          <w:rFonts w:hint="eastAsia" w:ascii="Times New Roman" w:hAnsi="Times New Roman" w:cs="Times New Roman"/>
          <w:lang w:val="en-US" w:eastAsia="zh-CN"/>
        </w:rPr>
      </w:pPr>
      <w:r>
        <w:rPr>
          <w:rFonts w:hint="eastAsia" w:ascii="Times New Roman" w:hAnsi="Times New Roman" w:cs="Times New Roman"/>
          <w:lang w:val="en-US" w:eastAsia="zh-CN"/>
        </w:rPr>
        <w:t>Selecting Source Cell as LTM Candidate: The UE attempts to fall back to the source cell. The source cell itself may have been configured as an LTM candidate cell. The RLF report will indicate the previousPCellId as the source cell.</w:t>
      </w:r>
    </w:p>
    <w:p>
      <w:pPr>
        <w:rPr>
          <w:rFonts w:hint="eastAsia" w:ascii="Times New Roman" w:hAnsi="Times New Roman" w:cs="Times New Roman"/>
          <w:lang w:val="en-US" w:eastAsia="zh-CN"/>
        </w:rPr>
      </w:pPr>
      <w:r>
        <w:rPr>
          <w:rFonts w:hint="eastAsia" w:ascii="Times New Roman" w:hAnsi="Times New Roman" w:cs="Times New Roman"/>
          <w:lang w:val="en-US" w:eastAsia="zh-CN"/>
        </w:rPr>
        <w:t>HOF with the Source Cell: This indicates that the attempt to recover to the source cell also results in a Handover Failure (HOF). This could be due to issues with the source cell's configuration, or the UE's state after the initial LTM failure. The RLF report's connectionFailureType would be hof, and failedPCellId would likely be the (original) source cell.</w:t>
      </w:r>
    </w:p>
    <w:p>
      <w:pPr>
        <w:rPr>
          <w:rFonts w:hint="eastAsia" w:ascii="Times New Roman" w:hAnsi="Times New Roman" w:cs="Times New Roman"/>
          <w:lang w:val="en-US" w:eastAsia="zh-CN"/>
        </w:rPr>
      </w:pPr>
      <w:r>
        <w:rPr>
          <w:rFonts w:hint="eastAsia" w:ascii="Times New Roman" w:hAnsi="Times New Roman" w:cs="Times New Roman"/>
          <w:lang w:val="en-US" w:eastAsia="zh-CN"/>
        </w:rPr>
        <w:t>XnAP signaling to convey both the initial LTM failure in the target cell (which is inter-gNB) and the subsequent failure to recover in the source cell (potentially intra-gNB or still involving inter-CU coordination if the source CU's DUs are involved).</w:t>
      </w:r>
    </w:p>
    <w:p>
      <w:pPr>
        <w:rPr>
          <w:rFonts w:hint="eastAsia" w:ascii="Times New Roman" w:hAnsi="Times New Roman" w:cs="Times New Roman"/>
          <w:lang w:val="en-US" w:eastAsia="zh-CN"/>
        </w:rPr>
      </w:pPr>
      <w:r>
        <w:rPr>
          <w:rFonts w:hint="eastAsia" w:ascii="Times New Roman" w:hAnsi="Times New Roman" w:cs="Times New Roman"/>
          <w:lang w:val="en-US" w:eastAsia="zh-CN"/>
        </w:rPr>
        <w:t xml:space="preserve">The Failure Indication message or Handover Report over Xn would need to carry detailed RLF reports </w:t>
      </w:r>
    </w:p>
    <w:p>
      <w:pPr>
        <w:rPr>
          <w:rFonts w:hint="eastAsia" w:ascii="Times New Roman" w:hAnsi="Times New Roman" w:cs="Times New Roman"/>
          <w:lang w:val="en-US" w:eastAsia="zh-CN"/>
        </w:rPr>
      </w:pPr>
      <w:r>
        <w:rPr>
          <w:rFonts w:hint="eastAsia" w:ascii="Times New Roman" w:hAnsi="Times New Roman" w:cs="Times New Roman"/>
          <w:lang w:val="en-US" w:eastAsia="zh-CN"/>
        </w:rPr>
        <w:t>MRO analysis would be complex, requiring correlation of multiple failure events to determine if the initial "Too Early LTM" was the root cause, or if there's an underlying issue with the source cell itself (e.g., capacity, interference).</w:t>
      </w:r>
    </w:p>
    <w:p>
      <w:pPr>
        <w:pStyle w:val="20"/>
        <w:keepNext w:val="0"/>
        <w:keepLines w:val="0"/>
        <w:widowControl/>
        <w:suppressLineNumbers w:val="0"/>
      </w:pPr>
      <w:r>
        <w:rPr>
          <w:rFonts w:hint="eastAsia" w:ascii="Times New Roman" w:hAnsi="Times New Roman" w:eastAsia="宋体" w:cs="Times New Roman"/>
          <w:b/>
          <w:bCs/>
          <w:lang w:val="en-US" w:eastAsia="zh-CN"/>
        </w:rPr>
        <w:t xml:space="preserve">In conclusion, case 2b </w:t>
      </w:r>
      <w:r>
        <w:rPr>
          <w:b/>
          <w:bCs/>
        </w:rPr>
        <w:t>consistent with Rel-19's definitions of LTM failure detection and LTM procedures</w:t>
      </w:r>
      <w:r>
        <w:rPr>
          <w:rFonts w:hint="eastAsia" w:eastAsia="宋体"/>
          <w:b/>
          <w:bCs/>
          <w:lang w:val="en-US" w:eastAsia="zh-CN"/>
        </w:rPr>
        <w:t>.</w:t>
      </w:r>
    </w:p>
    <w:p>
      <w:pPr>
        <w:pStyle w:val="9"/>
        <w:bidi w:val="0"/>
        <w:rPr>
          <w:rFonts w:hint="eastAsia"/>
          <w:lang w:val="en-US" w:eastAsia="zh-CN"/>
        </w:rPr>
      </w:pPr>
      <w:r>
        <w:rPr>
          <w:rFonts w:hint="eastAsia"/>
          <w:lang w:val="en-US" w:eastAsia="zh-CN"/>
        </w:rPr>
        <w:t>Case 2c: The UE detects HOF/RLF in the LTM target cell, and successfully completes LTM execution with the selected source cell which is also an LTM candidate cell.</w:t>
      </w:r>
    </w:p>
    <w:p>
      <w:pPr>
        <w:rPr>
          <w:rFonts w:hint="eastAsia" w:ascii="Times New Roman" w:hAnsi="Times New Roman" w:cs="Times New Roman"/>
          <w:lang w:val="en-US" w:eastAsia="zh-CN"/>
        </w:rPr>
      </w:pPr>
      <w:r>
        <w:rPr>
          <w:rFonts w:hint="eastAsia" w:ascii="Times New Roman" w:hAnsi="Times New Roman" w:cs="Times New Roman"/>
          <w:lang w:val="en-US" w:eastAsia="zh-CN"/>
        </w:rPr>
        <w:t>Similar to Case 1c for "Too Late LTM," this represents an RLF/HOF in the target cell (due to "Too Early LTM"), but the UE successfully recovers by performing an LTM back to the original source cell.</w:t>
      </w:r>
    </w:p>
    <w:p>
      <w:pPr>
        <w:rPr>
          <w:rFonts w:hint="eastAsia" w:ascii="Times New Roman" w:hAnsi="Times New Roman" w:cs="Times New Roman"/>
          <w:lang w:val="en-US" w:eastAsia="zh-CN"/>
        </w:rPr>
      </w:pPr>
      <w:r>
        <w:rPr>
          <w:rFonts w:hint="eastAsia" w:ascii="Times New Roman" w:hAnsi="Times New Roman" w:cs="Times New Roman"/>
          <w:lang w:val="en-US" w:eastAsia="zh-CN"/>
        </w:rPr>
        <w:t>LTM Execution &amp; Failure in Target Cell: Same as Case 2a. RLF/HOF in the inter-gNB LTM target cell.</w:t>
      </w:r>
    </w:p>
    <w:p>
      <w:pPr>
        <w:rPr>
          <w:rFonts w:hint="eastAsia" w:ascii="Times New Roman" w:hAnsi="Times New Roman" w:cs="Times New Roman"/>
          <w:lang w:val="en-US" w:eastAsia="zh-CN"/>
        </w:rPr>
      </w:pPr>
      <w:r>
        <w:rPr>
          <w:rFonts w:hint="eastAsia" w:ascii="Times New Roman" w:hAnsi="Times New Roman" w:cs="Times New Roman"/>
          <w:lang w:val="en-US" w:eastAsia="zh-CN"/>
        </w:rPr>
        <w:t xml:space="preserve">Successful LTM Execution with Selected Source Cell: After the initial failure, the UE successfully performs an LTM switch back to the source cell, which was also an LTM candidate. This means the UE completes the RA procedure (RACH-based) or successfully receives RRCReconfigurationComplete (RACH-less). </w:t>
      </w:r>
    </w:p>
    <w:p>
      <w:pPr>
        <w:rPr>
          <w:rFonts w:hint="eastAsia" w:ascii="Times New Roman" w:hAnsi="Times New Roman" w:cs="Times New Roman"/>
          <w:lang w:val="en-US" w:eastAsia="zh-CN"/>
        </w:rPr>
      </w:pPr>
      <w:r>
        <w:rPr>
          <w:rFonts w:hint="eastAsia" w:ascii="Times New Roman" w:hAnsi="Times New Roman" w:cs="Times New Roman"/>
          <w:lang w:val="en-US" w:eastAsia="zh-CN"/>
        </w:rPr>
        <w:t>The occurrence of RLF/HOF in the target cell is a clear indicator of "Too Early LTM," even though the UE successfully recovered to the source. The network needs to analyze the initial failure to avoid future premature LTMs. The timeConnFailure field in the RLF report (if generated for the initial failure) provides the elapsed time since the LTM execution until connection failure, which is critical for classifying "Too Early LTM".</w:t>
      </w:r>
    </w:p>
    <w:p>
      <w:pPr>
        <w:rPr>
          <w:rFonts w:hint="eastAsia" w:ascii="Times New Roman" w:hAnsi="Times New Roman" w:cs="Times New Roman"/>
          <w:lang w:val="en-US" w:eastAsia="zh-CN"/>
        </w:rPr>
      </w:pPr>
      <w:r>
        <w:rPr>
          <w:rFonts w:hint="eastAsia" w:ascii="Times New Roman" w:hAnsi="Times New Roman" w:cs="Times New Roman"/>
          <w:lang w:val="en-US" w:eastAsia="zh-CN"/>
        </w:rPr>
        <w:t>XnAP would need to carry both sets of information. MRO algorithms would then use this correlated data to adjust LTM triggering parameters (e.g., measurement thresholds, TTT) to prevent premature LTMs to unsuitable target cells, even if eventual recovery occurs.</w:t>
      </w:r>
    </w:p>
    <w:p>
      <w:pPr>
        <w:pStyle w:val="2"/>
        <w:ind w:left="0" w:leftChars="0" w:firstLine="0" w:firstLineChars="0"/>
      </w:pPr>
      <w:r>
        <w:rPr>
          <w:rFonts w:hint="eastAsia" w:ascii="Times New Roman" w:hAnsi="Times New Roman" w:eastAsia="宋体" w:cs="Times New Roman"/>
          <w:b/>
          <w:bCs/>
          <w:lang w:val="en-US" w:eastAsia="zh-CN"/>
        </w:rPr>
        <w:t xml:space="preserve">In conclusion, case 2c </w:t>
      </w:r>
      <w:r>
        <w:rPr>
          <w:b/>
          <w:bCs/>
        </w:rPr>
        <w:t>consistent with Rel-19's definitions of LTM failure detection and LTM procedures</w:t>
      </w:r>
      <w:r>
        <w:rPr>
          <w:rFonts w:hint="eastAsia" w:eastAsia="宋体"/>
          <w:b/>
          <w:bCs/>
          <w:lang w:val="en-US" w:eastAsia="zh-CN"/>
        </w:rPr>
        <w:t>.</w:t>
      </w:r>
    </w:p>
    <w:p>
      <w:pPr>
        <w:rPr>
          <w:rFonts w:hint="eastAsia"/>
          <w:lang w:val="en-US" w:eastAsia="zh-CN"/>
        </w:rPr>
      </w:pPr>
      <w:r>
        <w:rPr>
          <w:rFonts w:hint="eastAsia" w:ascii="Times New Roman" w:hAnsi="Times New Roman" w:cs="Times New Roman"/>
          <w:lang w:val="en-US" w:eastAsia="zh-CN"/>
        </w:rPr>
        <w:t>In summary, the "Too Early LTM" sub-cases are direct consequences of inter-gNB LTM operations. RAN3's efforts in Rel-19 have laid the groundwork by defining key XnAP and F1AP messages and information elements that can carry the necessary failure and recovery details. For Rel-20, the focus will be on refining these procedures to ensure comprehensive MRO for these inter-CU "Too Early LTM" scenarios.</w:t>
      </w:r>
    </w:p>
    <w:p>
      <w:pPr>
        <w:pStyle w:val="8"/>
        <w:bidi w:val="0"/>
        <w:rPr>
          <w:rFonts w:hint="default"/>
          <w:lang w:val="en-US" w:eastAsia="zh-CN"/>
        </w:rPr>
      </w:pPr>
      <w:r>
        <w:rPr>
          <w:rFonts w:hint="eastAsia"/>
          <w:lang w:val="en-US" w:eastAsia="zh-CN"/>
        </w:rPr>
        <w:t>Wrong cell LTM</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pStyle w:val="55"/>
              <w:tabs>
                <w:tab w:val="left" w:pos="360"/>
                <w:tab w:val="clear" w:pos="1619"/>
              </w:tabs>
              <w:ind w:left="360"/>
              <w:rPr>
                <w:color w:val="538135"/>
                <w:lang w:eastAsia="ja-JP"/>
              </w:rPr>
            </w:pPr>
            <w:r>
              <w:rPr>
                <w:rFonts w:hint="eastAsia" w:eastAsia="宋体"/>
                <w:color w:val="538135"/>
                <w:lang w:val="en-US" w:eastAsia="zh-CN"/>
              </w:rPr>
              <w:t xml:space="preserve">R19 </w:t>
            </w:r>
            <w:r>
              <w:rPr>
                <w:color w:val="538135"/>
                <w:lang w:eastAsia="ja-JP"/>
              </w:rPr>
              <w:t>LTM to wrong cell, :</w:t>
            </w:r>
          </w:p>
          <w:p>
            <w:pPr>
              <w:pStyle w:val="55"/>
              <w:numPr>
                <w:ilvl w:val="0"/>
                <w:numId w:val="0"/>
              </w:numPr>
              <w:tabs>
                <w:tab w:val="left" w:pos="720"/>
                <w:tab w:val="clear" w:pos="1619"/>
              </w:tabs>
              <w:ind w:left="360"/>
              <w:rPr>
                <w:color w:val="538135"/>
                <w:lang w:eastAsia="ja-JP"/>
              </w:rPr>
            </w:pPr>
            <w:r>
              <w:rPr>
                <w:color w:val="538135"/>
                <w:lang w:eastAsia="ja-JP"/>
              </w:rPr>
              <w:t>-</w:t>
            </w:r>
            <w:r>
              <w:rPr>
                <w:rFonts w:cs="Times New Roman"/>
                <w:color w:val="538135"/>
                <w:lang w:eastAsia="ja-JP"/>
              </w:rPr>
              <w:tab/>
            </w:r>
            <w:r>
              <w:rPr>
                <w:rFonts w:cs="Times New Roman"/>
                <w:color w:val="538135"/>
                <w:lang w:eastAsia="ja-JP"/>
              </w:rPr>
              <w:t>Case 3a: the UE detects HOF/RLF in the LTM target cell and performs reestablishment procedure with the cell which is different from the source or target one.</w:t>
            </w:r>
          </w:p>
          <w:p>
            <w:pPr>
              <w:pStyle w:val="55"/>
              <w:numPr>
                <w:ilvl w:val="0"/>
                <w:numId w:val="0"/>
              </w:numPr>
              <w:tabs>
                <w:tab w:val="left" w:pos="720"/>
                <w:tab w:val="clear" w:pos="1619"/>
              </w:tabs>
              <w:ind w:left="360"/>
              <w:rPr>
                <w:lang w:eastAsia="ja-JP"/>
              </w:rPr>
            </w:pPr>
            <w:r>
              <w:rPr>
                <w:color w:val="538135"/>
                <w:lang w:eastAsia="ja-JP"/>
              </w:rPr>
              <w:t>-</w:t>
            </w:r>
            <w:r>
              <w:rPr>
                <w:color w:val="538135"/>
                <w:lang w:eastAsia="ja-JP"/>
              </w:rPr>
              <w:tab/>
            </w:r>
            <w:r>
              <w:rPr>
                <w:color w:val="538135"/>
                <w:lang w:eastAsia="ja-JP"/>
              </w:rPr>
              <w:t>Case 3b: the UE detects HOF/RLF in the LTM target cell, selects an LTM candidate cell which is different from the source or target one, detects HOF with the selected LTM candidate cell, and performs reestablishment procedure.</w:t>
            </w:r>
          </w:p>
          <w:p>
            <w:pPr>
              <w:pStyle w:val="2"/>
              <w:numPr>
                <w:ilvl w:val="0"/>
                <w:numId w:val="0"/>
              </w:numPr>
              <w:ind w:left="396" w:leftChars="180" w:firstLine="0" w:firstLineChars="0"/>
              <w:rPr>
                <w:rFonts w:hint="eastAsia" w:ascii="Times New Roman" w:hAnsi="Times New Roman" w:eastAsia="宋体" w:cs="Times New Roman"/>
                <w:vertAlign w:val="baseline"/>
                <w:lang w:val="en-US" w:eastAsia="zh-CN"/>
              </w:rPr>
            </w:pPr>
            <w:r>
              <w:rPr>
                <w:rFonts w:ascii="Arial" w:hAnsi="Arial" w:eastAsia="MS Mincho" w:cs="Times New Roman"/>
                <w:b/>
                <w:color w:val="538135"/>
                <w:sz w:val="20"/>
                <w:szCs w:val="24"/>
                <w:lang w:val="en-GB" w:eastAsia="ja-JP" w:bidi="ar-SA"/>
              </w:rPr>
              <w:t>-</w:t>
            </w:r>
            <w:r>
              <w:rPr>
                <w:rFonts w:ascii="Arial" w:hAnsi="Arial" w:eastAsia="MS Mincho" w:cs="Times New Roman"/>
                <w:b/>
                <w:color w:val="538135"/>
                <w:sz w:val="20"/>
                <w:szCs w:val="24"/>
                <w:lang w:val="en-GB" w:eastAsia="ja-JP" w:bidi="ar-SA"/>
              </w:rPr>
              <w:tab/>
            </w:r>
            <w:r>
              <w:rPr>
                <w:rFonts w:ascii="Arial" w:hAnsi="Arial" w:eastAsia="MS Mincho" w:cs="Times New Roman"/>
                <w:b/>
                <w:color w:val="538135"/>
                <w:sz w:val="20"/>
                <w:szCs w:val="24"/>
                <w:lang w:val="en-GB" w:eastAsia="ja-JP" w:bidi="ar-SA"/>
              </w:rPr>
              <w:t>Case 3c: the UE detects HOF/RLF in the LTM target cell, and successfully completes LTM execution with the selected LTM candidate cell which is different from the source or target one.</w:t>
            </w:r>
          </w:p>
        </w:tc>
      </w:tr>
    </w:tbl>
    <w:p>
      <w:r>
        <w:rPr>
          <w:rFonts w:hint="eastAsia" w:ascii="Times New Roman" w:hAnsi="Times New Roman" w:cs="Times New Roman"/>
          <w:lang w:val="en-US" w:eastAsia="zh-CN"/>
        </w:rPr>
        <w:t>Based on Rel-19 specifications, "LTM cell switch to Wrong Cell" is defined as: An RLF occurred shortly after a successful LTM cell switch, or a HOF occurred during the LTM procedure, and the UE attempts to re-establish the radio link connection to a cell that is neither the source cell nor the target cell.</w:t>
      </w:r>
    </w:p>
    <w:p>
      <w:pPr>
        <w:pStyle w:val="9"/>
        <w:bidi w:val="0"/>
        <w:rPr>
          <w:rFonts w:hint="eastAsia"/>
          <w:lang w:val="en-US" w:eastAsia="zh-CN"/>
        </w:rPr>
      </w:pPr>
      <w:r>
        <w:rPr>
          <w:rFonts w:hint="eastAsia"/>
          <w:lang w:val="en-US" w:eastAsia="zh-CN"/>
        </w:rPr>
        <w:t xml:space="preserve">Case 3a: The UE detects HOF/RLF in the LTM target cell and performs a reestablishment procedure with </w:t>
      </w:r>
      <w:r>
        <w:rPr>
          <w:rFonts w:hint="eastAsia"/>
          <w:lang w:val="en-US" w:eastAsia="ja-JP"/>
        </w:rPr>
        <w:t>the cell which is different from the source or target one</w:t>
      </w:r>
      <w:r>
        <w:rPr>
          <w:rFonts w:hint="eastAsia"/>
          <w:lang w:val="en-US" w:eastAsia="zh-CN"/>
        </w:rPr>
        <w:t>.</w:t>
      </w:r>
    </w:p>
    <w:p>
      <w:pPr>
        <w:rPr>
          <w:rFonts w:hint="eastAsia" w:ascii="Times New Roman" w:hAnsi="Times New Roman" w:cs="Times New Roman"/>
          <w:lang w:val="en-US" w:eastAsia="zh-CN"/>
        </w:rPr>
      </w:pPr>
      <w:r>
        <w:rPr>
          <w:rFonts w:hint="eastAsia" w:ascii="Times New Roman" w:hAnsi="Times New Roman" w:cs="Times New Roman"/>
          <w:lang w:val="en-US" w:eastAsia="zh-CN"/>
        </w:rPr>
        <w:t>LTM Execution and Failure in Target Cell: the UE attempts to switch to the target cell after receiving the LTM cell switch command. This target cell may be managed by another gNB, making it an inter-gNB (cross-CU) scenario.</w:t>
      </w:r>
    </w:p>
    <w:p>
      <w:pPr>
        <w:rPr>
          <w:rFonts w:hint="eastAsia" w:ascii="Times New Roman" w:hAnsi="Times New Roman" w:cs="Times New Roman"/>
          <w:lang w:val="en-US" w:eastAsia="zh-CN"/>
        </w:rPr>
      </w:pPr>
      <w:r>
        <w:rPr>
          <w:rFonts w:hint="eastAsia" w:ascii="Times New Roman" w:hAnsi="Times New Roman" w:cs="Times New Roman"/>
          <w:lang w:val="en-US" w:eastAsia="zh-CN"/>
        </w:rPr>
        <w:t>If a HOF or RLF is detected in this target cell, it indicates an LTM execution failure. The UE's RLF report will have connectionFailureType set to hof or rlf, and nrFailedPCellId will indicate the LTM target cell.</w:t>
      </w:r>
    </w:p>
    <w:p>
      <w:pPr>
        <w:rPr>
          <w:rFonts w:hint="eastAsia" w:ascii="Times New Roman" w:hAnsi="Times New Roman" w:cs="Times New Roman"/>
          <w:lang w:val="en-US" w:eastAsia="zh-CN"/>
        </w:rPr>
      </w:pPr>
      <w:r>
        <w:rPr>
          <w:rFonts w:hint="eastAsia" w:ascii="Times New Roman" w:hAnsi="Times New Roman" w:cs="Times New Roman"/>
          <w:lang w:val="en-US" w:eastAsia="zh-CN"/>
        </w:rPr>
        <w:t>Reestablishment with a Cell Different from Source or Target: After the failure in the target cell, the UE does not attempt to return to the source cell. Instead, it attempts a reestablishment procedure with a third cell that is neither the original source cell nor the initial LTM target cell.</w:t>
      </w:r>
    </w:p>
    <w:p>
      <w:pPr>
        <w:rPr>
          <w:rFonts w:hint="eastAsia" w:ascii="Times New Roman" w:hAnsi="Times New Roman" w:cs="Times New Roman"/>
          <w:lang w:val="en-US" w:eastAsia="zh-CN"/>
        </w:rPr>
      </w:pPr>
      <w:r>
        <w:rPr>
          <w:rFonts w:hint="eastAsia" w:ascii="Times New Roman" w:hAnsi="Times New Roman" w:cs="Times New Roman"/>
          <w:lang w:val="en-US" w:eastAsia="zh-CN"/>
        </w:rPr>
        <w:t>The UE's RLF report will include the reestablishmentCellId field, specifying the cell where the UE attempted to re-establish connection . If the UE attempts LTM recovery, the ltm-RecoveryCellId field can indicate the LTM cell selected for LTM-based recovery. If this reestablishment (or LTM recovery) occurs in a cell that is neither source nor target, it fully aligns with the "LTM to wrong cell" definition</w:t>
      </w:r>
    </w:p>
    <w:p>
      <w:pPr>
        <w:rPr>
          <w:rFonts w:hint="eastAsia" w:ascii="Times New Roman" w:hAnsi="Times New Roman" w:cs="Times New Roman"/>
          <w:lang w:val="en-US" w:eastAsia="zh-CN"/>
        </w:rPr>
      </w:pPr>
      <w:r>
        <w:rPr>
          <w:rFonts w:hint="eastAsia" w:ascii="Times New Roman" w:hAnsi="Times New Roman" w:cs="Times New Roman"/>
          <w:lang w:val="en-US" w:eastAsia="zh-CN"/>
        </w:rPr>
        <w:t>XnAP would need to carry both sets of information. MRO algorithms would then use this correlated data to adjust LTM triggering parameters.</w:t>
      </w:r>
    </w:p>
    <w:p>
      <w:pPr>
        <w:pStyle w:val="2"/>
        <w:ind w:left="0" w:leftChars="0" w:firstLine="0" w:firstLineChars="0"/>
      </w:pPr>
      <w:r>
        <w:rPr>
          <w:rFonts w:hint="eastAsia" w:ascii="Times New Roman" w:hAnsi="Times New Roman" w:eastAsia="宋体" w:cs="Times New Roman"/>
          <w:b/>
          <w:bCs/>
          <w:lang w:val="en-US" w:eastAsia="zh-CN"/>
        </w:rPr>
        <w:t xml:space="preserve">In conclusion, case 3a </w:t>
      </w:r>
      <w:r>
        <w:rPr>
          <w:b/>
          <w:bCs/>
        </w:rPr>
        <w:t>consistent with Rel-19's definitions of LTM failure detection and LTM procedures</w:t>
      </w:r>
      <w:r>
        <w:rPr>
          <w:rFonts w:hint="eastAsia" w:eastAsia="宋体"/>
          <w:b/>
          <w:bCs/>
          <w:lang w:val="en-US" w:eastAsia="zh-CN"/>
        </w:rPr>
        <w:t>.</w:t>
      </w:r>
    </w:p>
    <w:p>
      <w:pPr>
        <w:pStyle w:val="9"/>
        <w:bidi w:val="0"/>
        <w:rPr>
          <w:rFonts w:hint="eastAsia"/>
          <w:lang w:val="en-US" w:eastAsia="zh-CN"/>
        </w:rPr>
      </w:pPr>
      <w:r>
        <w:rPr>
          <w:rFonts w:hint="eastAsia"/>
          <w:lang w:val="en-US" w:eastAsia="zh-CN"/>
        </w:rPr>
        <w:t>Case 3b: The UE detects HOF/RLF in the LTM target cell, selects an LTM candidate cell which is different from the source or target one, detects HOF with the selected LTM candidate cell, and performs a reestablishment procedure.</w:t>
      </w:r>
    </w:p>
    <w:p>
      <w:pPr>
        <w:rPr>
          <w:rFonts w:hint="eastAsia" w:ascii="Times New Roman" w:hAnsi="Times New Roman" w:cs="Times New Roman"/>
          <w:lang w:val="en-US" w:eastAsia="zh-CN"/>
        </w:rPr>
      </w:pPr>
      <w:r>
        <w:rPr>
          <w:rFonts w:hint="eastAsia" w:ascii="Times New Roman" w:hAnsi="Times New Roman" w:cs="Times New Roman"/>
          <w:lang w:val="en-US" w:eastAsia="zh-CN"/>
        </w:rPr>
        <w:t>LTM Execution and Failure in Target Cell: Similar to Case 3a, the UE experiences HOF/RLF in the initial LTM target cell.</w:t>
      </w:r>
    </w:p>
    <w:p>
      <w:pPr>
        <w:rPr>
          <w:rFonts w:hint="eastAsia" w:ascii="Times New Roman" w:hAnsi="Times New Roman" w:cs="Times New Roman"/>
          <w:lang w:val="en-US" w:eastAsia="zh-CN"/>
        </w:rPr>
      </w:pPr>
      <w:r>
        <w:rPr>
          <w:rFonts w:hint="eastAsia" w:ascii="Times New Roman" w:hAnsi="Times New Roman" w:cs="Times New Roman"/>
          <w:lang w:val="en-US" w:eastAsia="zh-CN"/>
        </w:rPr>
        <w:t xml:space="preserve">Selecting a Different LTM Candidate Cell: Crucially, after the initial failure, the UE does not return to the source cell but attempts to switch to a third LTM candidate cell that is "different from the source or target one." This action directly matches the core of the "LTM to wrong cell" definition. </w:t>
      </w:r>
    </w:p>
    <w:p>
      <w:pPr>
        <w:rPr>
          <w:rFonts w:hint="eastAsia" w:ascii="Times New Roman" w:hAnsi="Times New Roman" w:cs="Times New Roman"/>
          <w:lang w:val="en-US" w:eastAsia="zh-CN"/>
        </w:rPr>
      </w:pPr>
      <w:r>
        <w:rPr>
          <w:rFonts w:hint="eastAsia" w:ascii="Times New Roman" w:hAnsi="Times New Roman" w:cs="Times New Roman"/>
          <w:lang w:val="en-US" w:eastAsia="zh-CN"/>
        </w:rPr>
        <w:t>HOF in the Selected Candidate Cell and Reestablishment: The fact that this second attempt also fails (HOF) and leads to reestablishment signifies a persistent issue. If the final reestablishment also occurs in a cell other than the source or the initial target cell, the entire sequence strongly points to a "LTM to wrong cell" scenario. Even if reestablishment eventually occurs with the source cell, the intermediate attempt to a "wrong cell" indicates a configuration problem.</w:t>
      </w:r>
    </w:p>
    <w:p>
      <w:pPr>
        <w:rPr>
          <w:rFonts w:hint="eastAsia" w:ascii="Times New Roman" w:hAnsi="Times New Roman" w:cs="Times New Roman"/>
          <w:lang w:val="en-US" w:eastAsia="zh-CN"/>
        </w:rPr>
      </w:pPr>
      <w:r>
        <w:rPr>
          <w:rFonts w:hint="eastAsia" w:ascii="Times New Roman" w:hAnsi="Times New Roman" w:cs="Times New Roman"/>
          <w:lang w:val="en-US" w:eastAsia="zh-CN"/>
        </w:rPr>
        <w:t>XnAP interfaces can relay such complex multi-hop failure information. Failure Indication messages would need to carry details about the ltm-RecoveryCellId chosen by the UE after the initial failure, and the subsequent HOF details.</w:t>
      </w:r>
    </w:p>
    <w:p>
      <w:pPr>
        <w:rPr>
          <w:rFonts w:hint="eastAsia" w:ascii="Times New Roman" w:hAnsi="Times New Roman" w:cs="Times New Roman"/>
          <w:lang w:val="en-US" w:eastAsia="zh-CN"/>
        </w:rPr>
      </w:pPr>
      <w:r>
        <w:rPr>
          <w:rFonts w:hint="eastAsia" w:ascii="Times New Roman" w:hAnsi="Times New Roman" w:cs="Times New Roman"/>
          <w:lang w:val="en-US" w:eastAsia="zh-CN"/>
        </w:rPr>
        <w:t>This requires robust cross-CU coordination (if source, initial target, and subsequent candidate cells are managed by different CUs) for MRO analysis, to pinpoint configuration or measurement deficiencies leading to the repeated selection of unsuitable cells.</w:t>
      </w:r>
    </w:p>
    <w:p>
      <w:pPr>
        <w:pStyle w:val="2"/>
        <w:ind w:left="0" w:leftChars="0" w:firstLine="0" w:firstLineChars="0"/>
      </w:pPr>
      <w:r>
        <w:rPr>
          <w:rFonts w:hint="eastAsia" w:ascii="Times New Roman" w:hAnsi="Times New Roman" w:eastAsia="宋体" w:cs="Times New Roman"/>
          <w:b/>
          <w:bCs/>
          <w:lang w:val="en-US" w:eastAsia="zh-CN"/>
        </w:rPr>
        <w:t xml:space="preserve">In conclusion, case 3b </w:t>
      </w:r>
      <w:r>
        <w:rPr>
          <w:b/>
          <w:bCs/>
        </w:rPr>
        <w:t>consistent with Rel-19's definitions of LTM failure detection and LTM procedures</w:t>
      </w:r>
      <w:r>
        <w:rPr>
          <w:rFonts w:hint="eastAsia" w:eastAsia="宋体"/>
          <w:b/>
          <w:bCs/>
          <w:lang w:val="en-US" w:eastAsia="zh-CN"/>
        </w:rPr>
        <w:t>.</w:t>
      </w:r>
    </w:p>
    <w:p>
      <w:pPr>
        <w:pStyle w:val="9"/>
        <w:bidi w:val="0"/>
        <w:rPr>
          <w:rFonts w:hint="eastAsia"/>
          <w:lang w:val="en-US" w:eastAsia="zh-CN"/>
        </w:rPr>
      </w:pPr>
      <w:r>
        <w:rPr>
          <w:rFonts w:hint="eastAsia"/>
          <w:lang w:val="en-US" w:eastAsia="zh-CN"/>
        </w:rPr>
        <w:t>Case 3c: The UE detects HOF/RLF in the LTM target cell, and successfully completes LTM execution with the selected LTM candidate cell which is different from the source or target one.</w:t>
      </w:r>
    </w:p>
    <w:p>
      <w:pPr>
        <w:rPr>
          <w:rFonts w:hint="eastAsia" w:ascii="Times New Roman" w:hAnsi="Times New Roman" w:cs="Times New Roman"/>
          <w:lang w:val="en-US" w:eastAsia="zh-CN"/>
        </w:rPr>
      </w:pPr>
      <w:r>
        <w:rPr>
          <w:rFonts w:hint="eastAsia" w:ascii="Times New Roman" w:hAnsi="Times New Roman" w:cs="Times New Roman"/>
          <w:lang w:val="en-US" w:eastAsia="zh-CN"/>
        </w:rPr>
        <w:t>LTM Execution and Failure in Target Cell: Same as Case 3a. The UE experiences HOF/RLF in the initial inter-gNB LTM target cell.</w:t>
      </w:r>
    </w:p>
    <w:p>
      <w:pPr>
        <w:rPr>
          <w:rFonts w:hint="eastAsia" w:ascii="Times New Roman" w:hAnsi="Times New Roman" w:cs="Times New Roman"/>
          <w:lang w:val="en-US" w:eastAsia="zh-CN"/>
        </w:rPr>
      </w:pPr>
      <w:r>
        <w:rPr>
          <w:rFonts w:hint="eastAsia" w:ascii="Times New Roman" w:hAnsi="Times New Roman" w:cs="Times New Roman"/>
          <w:lang w:val="en-US" w:eastAsia="zh-CN"/>
        </w:rPr>
        <w:t xml:space="preserve">Successful LTM Execution with a Different Candidate Cell: After the initial failure, the UE successfully performs an LTM switch to a third LTM candidate cell that is distinct from both the source and the initial LTM target cell. </w:t>
      </w:r>
    </w:p>
    <w:p>
      <w:pPr>
        <w:rPr>
          <w:rFonts w:hint="eastAsia" w:ascii="Times New Roman" w:hAnsi="Times New Roman" w:cs="Times New Roman"/>
          <w:lang w:val="en-US" w:eastAsia="zh-CN"/>
        </w:rPr>
      </w:pPr>
      <w:r>
        <w:rPr>
          <w:rFonts w:hint="eastAsia" w:ascii="Times New Roman" w:hAnsi="Times New Roman" w:cs="Times New Roman"/>
          <w:lang w:val="en-US" w:eastAsia="zh-CN"/>
        </w:rPr>
        <w:t xml:space="preserve">Despite the eventual connection recovery, the initial HOF/RLF to the wrong target cell and the subsequent successful switch to another "wrong" cell (i.e., not the intended target and not the source) strongly indicate a flaw in the LTM configuration or parameters. The objective of MRO is to prevent the initial failure and ensure the UE selects the optimal cell. These reports need to be passed via XnAP between the involved CUs for comprehensive analysis. </w:t>
      </w:r>
    </w:p>
    <w:p>
      <w:pPr>
        <w:pStyle w:val="2"/>
        <w:ind w:left="0" w:leftChars="0" w:firstLine="0" w:firstLineChars="0"/>
      </w:pPr>
      <w:r>
        <w:rPr>
          <w:rFonts w:hint="eastAsia" w:ascii="Times New Roman" w:hAnsi="Times New Roman" w:eastAsia="宋体" w:cs="Times New Roman"/>
          <w:b/>
          <w:bCs/>
          <w:lang w:val="en-US" w:eastAsia="zh-CN"/>
        </w:rPr>
        <w:t xml:space="preserve">In conclusion, case 3c </w:t>
      </w:r>
      <w:r>
        <w:rPr>
          <w:b/>
          <w:bCs/>
        </w:rPr>
        <w:t>consistent with Rel-19's definitions of LTM failure detection and LTM procedures</w:t>
      </w:r>
      <w:r>
        <w:rPr>
          <w:rFonts w:hint="eastAsia" w:eastAsia="宋体"/>
          <w:b/>
          <w:bCs/>
          <w:lang w:val="en-US" w:eastAsia="zh-CN"/>
        </w:rPr>
        <w:t>.</w:t>
      </w:r>
    </w:p>
    <w:p>
      <w:pPr>
        <w:pStyle w:val="6"/>
        <w:rPr>
          <w:rFonts w:eastAsia="等线"/>
          <w:lang w:eastAsia="zh-CN"/>
        </w:rPr>
      </w:pPr>
      <w:r>
        <w:t>Conclusion</w:t>
      </w:r>
    </w:p>
    <w:p>
      <w:pPr>
        <w:pStyle w:val="2"/>
        <w:ind w:left="0" w:firstLine="0"/>
        <w:rPr>
          <w:rFonts w:hint="eastAsia" w:ascii="Times New Roman" w:hAnsi="Times New Roman" w:eastAsia="Times New Roman" w:cs="Times New Roman"/>
          <w:b/>
          <w:bCs/>
          <w:sz w:val="24"/>
          <w:lang w:val="en-US" w:eastAsia="zh-CN"/>
        </w:rPr>
      </w:pPr>
      <w:r>
        <w:rPr>
          <w:rFonts w:hint="eastAsia" w:ascii="Times New Roman" w:hAnsi="Times New Roman" w:eastAsia="Times New Roman" w:cs="Times New Roman"/>
          <w:b/>
          <w:bCs/>
          <w:sz w:val="24"/>
          <w:lang w:val="en-US" w:eastAsia="zh-CN"/>
        </w:rPr>
        <w:t>In this contribution, we provide the following observations and proposal:</w:t>
      </w:r>
    </w:p>
    <w:p>
      <w:pPr>
        <w:pStyle w:val="2"/>
        <w:ind w:left="0" w:firstLine="0"/>
        <w:rPr>
          <w:rFonts w:hint="eastAsia" w:ascii="Times New Roman" w:hAnsi="Times New Roman" w:eastAsia="Times New Roman" w:cs="Times New Roman"/>
          <w:b/>
          <w:bCs/>
          <w:sz w:val="24"/>
          <w:lang w:val="en-US" w:eastAsia="zh-CN"/>
        </w:rPr>
      </w:pPr>
      <w:r>
        <w:rPr>
          <w:rFonts w:hint="eastAsia" w:ascii="Times New Roman" w:hAnsi="Times New Roman" w:eastAsia="Times New Roman" w:cs="Times New Roman"/>
          <w:b/>
          <w:bCs/>
          <w:sz w:val="24"/>
          <w:lang w:val="en-US" w:eastAsia="zh-CN"/>
        </w:rPr>
        <w:t>Proposal 1: RAN3 to work on MRO for Inter-CU MCG LTM, SN-initiated inter-CU SCG LTM and take into account coexistence of inter-CU LTM with intra-CU LTM. And failure case and near failure case should be considered in Rel-20.</w:t>
      </w:r>
    </w:p>
    <w:p>
      <w:pPr>
        <w:pStyle w:val="2"/>
        <w:ind w:left="0" w:firstLine="0"/>
        <w:rPr>
          <w:rFonts w:hint="eastAsia" w:ascii="Times New Roman" w:hAnsi="Times New Roman" w:eastAsia="Times New Roman" w:cs="Times New Roman"/>
          <w:b/>
          <w:bCs/>
          <w:sz w:val="24"/>
          <w:lang w:val="en-US" w:eastAsia="zh-CN"/>
        </w:rPr>
      </w:pPr>
      <w:r>
        <w:rPr>
          <w:rFonts w:hint="eastAsia" w:ascii="Times New Roman" w:hAnsi="Times New Roman" w:eastAsia="Times New Roman" w:cs="Times New Roman"/>
          <w:b/>
          <w:bCs/>
          <w:sz w:val="24"/>
          <w:lang w:val="en-US" w:eastAsia="zh-CN"/>
        </w:rPr>
        <w:t>Proposal 2: User cases for inter-CU LTM are consistent with Rel-19's definitions of LTM failure detection and LTM procedures .</w:t>
      </w:r>
    </w:p>
    <w:p>
      <w:pPr>
        <w:pStyle w:val="55"/>
        <w:tabs>
          <w:tab w:val="left" w:pos="419"/>
          <w:tab w:val="clear" w:pos="1619"/>
        </w:tabs>
        <w:ind w:left="64" w:leftChars="29"/>
        <w:rPr>
          <w:lang w:eastAsia="ja-JP"/>
        </w:rPr>
      </w:pPr>
      <w:r>
        <w:rPr>
          <w:lang w:eastAsia="ja-JP"/>
        </w:rPr>
        <w:t xml:space="preserve">For </w:t>
      </w:r>
      <w:r>
        <w:rPr>
          <w:rFonts w:hint="eastAsia" w:eastAsia="宋体"/>
          <w:lang w:val="en-US" w:eastAsia="zh-CN"/>
        </w:rPr>
        <w:t xml:space="preserve">inter-CU </w:t>
      </w:r>
      <w:r>
        <w:rPr>
          <w:lang w:eastAsia="ja-JP"/>
        </w:rPr>
        <w:t>LTM MRO, RAN</w:t>
      </w:r>
      <w:r>
        <w:rPr>
          <w:rFonts w:hint="eastAsia" w:eastAsia="宋体"/>
          <w:lang w:val="en-US" w:eastAsia="zh-CN"/>
        </w:rPr>
        <w:t>3</w:t>
      </w:r>
      <w:r>
        <w:rPr>
          <w:lang w:eastAsia="ja-JP"/>
        </w:rPr>
        <w:t xml:space="preserve"> considers </w:t>
      </w:r>
      <w:r>
        <w:rPr>
          <w:rFonts w:hint="eastAsia" w:eastAsia="宋体"/>
          <w:lang w:val="en-US" w:eastAsia="zh-CN"/>
        </w:rPr>
        <w:t xml:space="preserve">reuse </w:t>
      </w:r>
      <w:r>
        <w:rPr>
          <w:lang w:eastAsia="ja-JP"/>
        </w:rPr>
        <w:t xml:space="preserve">the following </w:t>
      </w:r>
      <w:r>
        <w:rPr>
          <w:rFonts w:hint="eastAsia" w:eastAsia="宋体"/>
          <w:lang w:val="en-US" w:eastAsia="zh-CN"/>
        </w:rPr>
        <w:t>R19 definitions</w:t>
      </w:r>
      <w:r>
        <w:rPr>
          <w:lang w:eastAsia="ja-JP"/>
        </w:rPr>
        <w:t>:</w:t>
      </w:r>
    </w:p>
    <w:p>
      <w:pPr>
        <w:pStyle w:val="55"/>
        <w:numPr>
          <w:ilvl w:val="0"/>
          <w:numId w:val="0"/>
        </w:numPr>
        <w:ind w:left="460" w:leftChars="209"/>
        <w:rPr>
          <w:lang w:eastAsia="ja-JP"/>
        </w:rPr>
      </w:pPr>
      <w:r>
        <w:rPr>
          <w:lang w:eastAsia="ja-JP"/>
        </w:rPr>
        <w:t>-</w:t>
      </w:r>
      <w:r>
        <w:rPr>
          <w:lang w:eastAsia="ja-JP"/>
        </w:rPr>
        <w:tab/>
      </w:r>
      <w:r>
        <w:rPr>
          <w:lang w:eastAsia="ja-JP"/>
        </w:rPr>
        <w:t>Too late LTM</w:t>
      </w:r>
    </w:p>
    <w:p>
      <w:pPr>
        <w:pStyle w:val="55"/>
        <w:numPr>
          <w:ilvl w:val="0"/>
          <w:numId w:val="0"/>
        </w:numPr>
        <w:ind w:left="460" w:leftChars="209"/>
        <w:rPr>
          <w:lang w:eastAsia="ja-JP"/>
        </w:rPr>
      </w:pPr>
      <w:r>
        <w:rPr>
          <w:lang w:eastAsia="ja-JP"/>
        </w:rPr>
        <w:t>-</w:t>
      </w:r>
      <w:r>
        <w:rPr>
          <w:lang w:eastAsia="ja-JP"/>
        </w:rPr>
        <w:tab/>
      </w:r>
      <w:r>
        <w:rPr>
          <w:lang w:eastAsia="ja-JP"/>
        </w:rPr>
        <w:t>Too early LTM</w:t>
      </w:r>
    </w:p>
    <w:p>
      <w:pPr>
        <w:pStyle w:val="55"/>
        <w:numPr>
          <w:ilvl w:val="0"/>
          <w:numId w:val="0"/>
        </w:numPr>
        <w:ind w:left="460" w:leftChars="209"/>
        <w:rPr>
          <w:lang w:eastAsia="ja-JP"/>
        </w:rPr>
      </w:pPr>
      <w:r>
        <w:rPr>
          <w:lang w:eastAsia="ja-JP"/>
        </w:rPr>
        <w:t>-</w:t>
      </w:r>
      <w:r>
        <w:rPr>
          <w:lang w:eastAsia="ja-JP"/>
        </w:rPr>
        <w:tab/>
      </w:r>
      <w:r>
        <w:rPr>
          <w:lang w:eastAsia="ja-JP"/>
        </w:rPr>
        <w:t>LTM to wrong cell</w:t>
      </w:r>
    </w:p>
    <w:p>
      <w:pPr>
        <w:pStyle w:val="55"/>
        <w:ind w:left="64" w:leftChars="29"/>
        <w:rPr>
          <w:lang w:eastAsia="ja-JP"/>
        </w:rPr>
      </w:pPr>
      <w:r>
        <w:rPr>
          <w:lang w:eastAsia="ja-JP"/>
        </w:rPr>
        <w:t>For too late LTM, the following sub-cases are considered but we may down prioritize later (not limiting):</w:t>
      </w:r>
    </w:p>
    <w:p>
      <w:pPr>
        <w:pStyle w:val="55"/>
        <w:numPr>
          <w:ilvl w:val="0"/>
          <w:numId w:val="0"/>
        </w:numPr>
        <w:ind w:left="460" w:leftChars="209"/>
        <w:rPr>
          <w:lang w:eastAsia="ja-JP"/>
        </w:rPr>
      </w:pPr>
      <w:r>
        <w:rPr>
          <w:lang w:eastAsia="ja-JP"/>
        </w:rPr>
        <w:t>-</w:t>
      </w:r>
      <w:r>
        <w:rPr>
          <w:lang w:eastAsia="ja-JP"/>
        </w:rPr>
        <w:tab/>
      </w:r>
      <w:r>
        <w:rPr>
          <w:lang w:eastAsia="ja-JP"/>
        </w:rPr>
        <w:t>Case 1a: the UE detects RLF in source cell after receiving LTM candidate configurations and performs reestablishment procedure.</w:t>
      </w:r>
    </w:p>
    <w:p>
      <w:pPr>
        <w:pStyle w:val="55"/>
        <w:numPr>
          <w:ilvl w:val="0"/>
          <w:numId w:val="0"/>
        </w:numPr>
        <w:ind w:left="460" w:leftChars="209"/>
        <w:rPr>
          <w:lang w:eastAsia="ja-JP"/>
        </w:rPr>
      </w:pPr>
      <w:r>
        <w:rPr>
          <w:lang w:eastAsia="ja-JP"/>
        </w:rPr>
        <w:t>-</w:t>
      </w:r>
      <w:r>
        <w:rPr>
          <w:lang w:eastAsia="ja-JP"/>
        </w:rPr>
        <w:tab/>
      </w:r>
      <w:r>
        <w:rPr>
          <w:lang w:eastAsia="ja-JP"/>
        </w:rPr>
        <w:t>Case 1b: the UE detects RLF in source cell after receiving LTM candidate configurations, selects an LTM candidate cell, detects HOF with the selected LTM cell.</w:t>
      </w:r>
    </w:p>
    <w:p>
      <w:pPr>
        <w:pStyle w:val="55"/>
        <w:numPr>
          <w:ilvl w:val="0"/>
          <w:numId w:val="0"/>
        </w:numPr>
        <w:ind w:left="460" w:leftChars="209"/>
        <w:rPr>
          <w:lang w:eastAsia="ja-JP"/>
        </w:rPr>
      </w:pPr>
      <w:r>
        <w:rPr>
          <w:lang w:eastAsia="ja-JP"/>
        </w:rPr>
        <w:t>-</w:t>
      </w:r>
      <w:r>
        <w:rPr>
          <w:lang w:eastAsia="ja-JP"/>
        </w:rPr>
        <w:tab/>
      </w:r>
      <w:r>
        <w:rPr>
          <w:lang w:eastAsia="ja-JP"/>
        </w:rPr>
        <w:t>Case 1c: the UE detects RLF in source cell after receiving LTM candidate configurations, and successfully completes LTM execution with the selected LTM candidate cell.</w:t>
      </w:r>
    </w:p>
    <w:p>
      <w:pPr>
        <w:pStyle w:val="55"/>
        <w:ind w:left="64" w:leftChars="29"/>
        <w:rPr>
          <w:lang w:eastAsia="ja-JP"/>
        </w:rPr>
      </w:pPr>
      <w:r>
        <w:rPr>
          <w:lang w:eastAsia="ja-JP"/>
        </w:rPr>
        <w:t>For too early LTM, the following sub-cases are considered but we may down prioritize later (not limiting):</w:t>
      </w:r>
    </w:p>
    <w:p>
      <w:pPr>
        <w:pStyle w:val="55"/>
        <w:numPr>
          <w:ilvl w:val="0"/>
          <w:numId w:val="0"/>
        </w:numPr>
        <w:ind w:left="460" w:leftChars="209"/>
        <w:rPr>
          <w:lang w:eastAsia="ja-JP"/>
        </w:rPr>
      </w:pPr>
      <w:r>
        <w:rPr>
          <w:lang w:eastAsia="ja-JP"/>
        </w:rPr>
        <w:t>-</w:t>
      </w:r>
      <w:r>
        <w:rPr>
          <w:lang w:eastAsia="ja-JP"/>
        </w:rPr>
        <w:tab/>
      </w:r>
      <w:r>
        <w:rPr>
          <w:lang w:eastAsia="ja-JP"/>
        </w:rPr>
        <w:t>Case 2a: the UE detects HOF/RLF in the LTM target cell and performs reestablishment procedure with the source cell.</w:t>
      </w:r>
    </w:p>
    <w:p>
      <w:pPr>
        <w:pStyle w:val="55"/>
        <w:numPr>
          <w:ilvl w:val="0"/>
          <w:numId w:val="0"/>
        </w:numPr>
        <w:ind w:left="460" w:leftChars="209"/>
        <w:rPr>
          <w:lang w:eastAsia="ja-JP"/>
        </w:rPr>
      </w:pPr>
      <w:r>
        <w:rPr>
          <w:lang w:eastAsia="ja-JP"/>
        </w:rPr>
        <w:t>-</w:t>
      </w:r>
      <w:r>
        <w:rPr>
          <w:lang w:eastAsia="ja-JP"/>
        </w:rPr>
        <w:tab/>
      </w:r>
      <w:r>
        <w:rPr>
          <w:lang w:eastAsia="ja-JP"/>
        </w:rPr>
        <w:t>Case 2b: the UE detects HOF/RLF in the LTM target cell, selects the source cell which is also an LTM candidate cell, detects HOF with the source cell, and performs reestablishment procedure.</w:t>
      </w:r>
    </w:p>
    <w:p>
      <w:pPr>
        <w:pStyle w:val="55"/>
        <w:numPr>
          <w:ilvl w:val="0"/>
          <w:numId w:val="0"/>
        </w:numPr>
        <w:ind w:left="460" w:leftChars="209"/>
        <w:rPr>
          <w:lang w:eastAsia="ja-JP"/>
        </w:rPr>
      </w:pPr>
      <w:r>
        <w:rPr>
          <w:lang w:eastAsia="ja-JP"/>
        </w:rPr>
        <w:t>-</w:t>
      </w:r>
      <w:r>
        <w:rPr>
          <w:lang w:eastAsia="ja-JP"/>
        </w:rPr>
        <w:tab/>
      </w:r>
      <w:r>
        <w:rPr>
          <w:lang w:eastAsia="ja-JP"/>
        </w:rPr>
        <w:t>Case 2c: the UE detects HOF/RLF in the LTM target cell, and successfully completes LTM execution with the selected source cell which is also an LTM candidate cell.</w:t>
      </w:r>
    </w:p>
    <w:p>
      <w:pPr>
        <w:pStyle w:val="55"/>
        <w:tabs>
          <w:tab w:val="left" w:pos="1419"/>
          <w:tab w:val="clear" w:pos="1619"/>
        </w:tabs>
        <w:ind w:left="64" w:leftChars="29"/>
        <w:rPr>
          <w:lang w:eastAsia="ja-JP"/>
        </w:rPr>
      </w:pPr>
      <w:r>
        <w:rPr>
          <w:lang w:eastAsia="ja-JP"/>
        </w:rPr>
        <w:t>LTM to wrong cell, the following sub-cases are considered but we may down prioritize later (not limiting):</w:t>
      </w:r>
    </w:p>
    <w:p>
      <w:pPr>
        <w:pStyle w:val="55"/>
        <w:numPr>
          <w:ilvl w:val="0"/>
          <w:numId w:val="0"/>
        </w:numPr>
        <w:ind w:left="460" w:leftChars="209"/>
        <w:rPr>
          <w:lang w:eastAsia="ja-JP"/>
        </w:rPr>
      </w:pPr>
      <w:r>
        <w:rPr>
          <w:lang w:eastAsia="ja-JP"/>
        </w:rPr>
        <w:t>-</w:t>
      </w:r>
      <w:r>
        <w:rPr>
          <w:lang w:eastAsia="ja-JP"/>
        </w:rPr>
        <w:tab/>
      </w:r>
      <w:r>
        <w:rPr>
          <w:lang w:eastAsia="ja-JP"/>
        </w:rPr>
        <w:t>Case 3a: the UE detects HOF/RLF in the LTM target cell and performs reestablishment procedure with the cell which is different from the source or target one.</w:t>
      </w:r>
    </w:p>
    <w:p>
      <w:pPr>
        <w:pStyle w:val="55"/>
        <w:numPr>
          <w:ilvl w:val="0"/>
          <w:numId w:val="0"/>
        </w:numPr>
        <w:ind w:left="460" w:leftChars="209"/>
        <w:rPr>
          <w:lang w:eastAsia="ja-JP"/>
        </w:rPr>
      </w:pPr>
      <w:r>
        <w:rPr>
          <w:lang w:eastAsia="ja-JP"/>
        </w:rPr>
        <w:t>-</w:t>
      </w:r>
      <w:r>
        <w:rPr>
          <w:lang w:eastAsia="ja-JP"/>
        </w:rPr>
        <w:tab/>
      </w:r>
      <w:r>
        <w:rPr>
          <w:lang w:eastAsia="ja-JP"/>
        </w:rPr>
        <w:t>Case 3b: the UE detects HOF/RLF in the LTM target cell, selects an LTM candidate cell which is different from the source or target one, detects HOF with the selected LTM candidate cell, and performs reestablishment procedure.</w:t>
      </w:r>
    </w:p>
    <w:p>
      <w:pPr>
        <w:pStyle w:val="55"/>
        <w:numPr>
          <w:ilvl w:val="0"/>
          <w:numId w:val="0"/>
        </w:numPr>
        <w:ind w:left="460" w:leftChars="209"/>
        <w:rPr>
          <w:lang w:eastAsia="ja-JP"/>
        </w:rPr>
      </w:pPr>
      <w:r>
        <w:rPr>
          <w:lang w:eastAsia="ja-JP"/>
        </w:rPr>
        <w:t>-</w:t>
      </w:r>
      <w:r>
        <w:rPr>
          <w:lang w:eastAsia="ja-JP"/>
        </w:rPr>
        <w:tab/>
      </w:r>
      <w:r>
        <w:rPr>
          <w:lang w:eastAsia="ja-JP"/>
        </w:rPr>
        <w:t>Case 3c: the UE detects HOF/RLF in the LTM target cell, and successfully completes LTM execution with the selected LTM candidate cell which is different from the source or target one.</w:t>
      </w:r>
    </w:p>
    <w:p>
      <w:pPr>
        <w:rPr>
          <w:rFonts w:hint="default" w:eastAsia="Times New Roman"/>
          <w:b/>
          <w:bCs/>
          <w:sz w:val="24"/>
          <w:lang w:val="en-US" w:eastAsia="zh-CN"/>
        </w:rPr>
      </w:pPr>
    </w:p>
    <w:p>
      <w:pPr>
        <w:pStyle w:val="6"/>
        <w:ind w:left="431" w:hanging="431"/>
      </w:pPr>
      <w:bookmarkStart w:id="2" w:name="_Hlk111487317"/>
      <w:r>
        <w:t>Ref</w:t>
      </w:r>
      <w:r>
        <w:rPr>
          <w:rFonts w:hint="eastAsia" w:eastAsia="宋体"/>
          <w:lang w:val="en-US" w:eastAsia="zh-CN"/>
        </w:rPr>
        <w:t>e</w:t>
      </w:r>
      <w:r>
        <w:t>rence</w:t>
      </w:r>
    </w:p>
    <w:p>
      <w:pPr>
        <w:rPr>
          <w:rFonts w:cs="Calibri"/>
          <w:sz w:val="18"/>
          <w:lang w:eastAsia="en-US"/>
        </w:rPr>
      </w:pPr>
      <w:r>
        <w:rPr>
          <w:rFonts w:cs="Calibri"/>
          <w:sz w:val="18"/>
          <w:lang w:eastAsia="en-US"/>
        </w:rPr>
        <w:t xml:space="preserve">[1] </w:t>
      </w:r>
      <w:bookmarkEnd w:id="2"/>
      <w:r>
        <w:rPr>
          <w:rFonts w:hint="eastAsia" w:eastAsia="宋体"/>
          <w:lang w:val="en-US" w:eastAsia="zh-CN"/>
        </w:rPr>
        <w:t>RP-251869</w:t>
      </w:r>
    </w:p>
    <w:sectPr>
      <w:pgSz w:w="11906" w:h="16838"/>
      <w:pgMar w:top="1417" w:right="1274" w:bottom="1417" w:left="1417" w:header="708" w:footer="708" w:gutter="0"/>
      <w:pgBorders>
        <w:top w:val="none" w:sz="0" w:space="0"/>
        <w:left w:val="none" w:sz="0" w:space="0"/>
        <w:bottom w:val="none" w:sz="0" w:space="0"/>
        <w:right w:val="none" w:sz="0" w:space="0"/>
      </w:pgBorders>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Arial Unicode MS">
    <w:altName w:val="微软雅黑"/>
    <w:panose1 w:val="020B0604020202020204"/>
    <w:charset w:val="86"/>
    <w:family w:val="swiss"/>
    <w:pitch w:val="default"/>
    <w:sig w:usb0="00000000" w:usb1="00000000"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6C3AA4"/>
    <w:multiLevelType w:val="multilevel"/>
    <w:tmpl w:val="1E6C3AA4"/>
    <w:lvl w:ilvl="0" w:tentative="0">
      <w:start w:val="1"/>
      <w:numFmt w:val="decimal"/>
      <w:pStyle w:val="6"/>
      <w:lvlText w:val="%1"/>
      <w:lvlJc w:val="left"/>
      <w:pPr>
        <w:tabs>
          <w:tab w:val="left" w:pos="432"/>
        </w:tabs>
        <w:ind w:left="432" w:hanging="432"/>
      </w:pPr>
    </w:lvl>
    <w:lvl w:ilvl="1" w:tentative="0">
      <w:start w:val="1"/>
      <w:numFmt w:val="decimal"/>
      <w:pStyle w:val="7"/>
      <w:lvlText w:val="%1.%2"/>
      <w:lvlJc w:val="left"/>
      <w:pPr>
        <w:tabs>
          <w:tab w:val="left" w:pos="576"/>
        </w:tabs>
        <w:ind w:left="576" w:hanging="576"/>
      </w:pPr>
    </w:lvl>
    <w:lvl w:ilvl="2" w:tentative="0">
      <w:start w:val="1"/>
      <w:numFmt w:val="decimal"/>
      <w:pStyle w:val="8"/>
      <w:lvlText w:val="%1.%2.%3"/>
      <w:lvlJc w:val="left"/>
      <w:pPr>
        <w:tabs>
          <w:tab w:val="left" w:pos="2421"/>
        </w:tabs>
        <w:ind w:left="2421" w:hanging="720"/>
      </w:pPr>
    </w:lvl>
    <w:lvl w:ilvl="3" w:tentative="0">
      <w:start w:val="1"/>
      <w:numFmt w:val="decimal"/>
      <w:pStyle w:val="9"/>
      <w:lvlText w:val="%1.%2.%3.%4"/>
      <w:lvlJc w:val="left"/>
      <w:pPr>
        <w:tabs>
          <w:tab w:val="left" w:pos="864"/>
        </w:tabs>
        <w:ind w:left="864" w:hanging="864"/>
      </w:pPr>
    </w:lvl>
    <w:lvl w:ilvl="4" w:tentative="0">
      <w:start w:val="1"/>
      <w:numFmt w:val="decimal"/>
      <w:pStyle w:val="10"/>
      <w:lvlText w:val="%1.%2.%3.%4.%5"/>
      <w:lvlJc w:val="left"/>
      <w:pPr>
        <w:tabs>
          <w:tab w:val="left" w:pos="1008"/>
        </w:tabs>
        <w:ind w:left="1008" w:hanging="1008"/>
      </w:pPr>
    </w:lvl>
    <w:lvl w:ilvl="5" w:tentative="0">
      <w:start w:val="1"/>
      <w:numFmt w:val="decimal"/>
      <w:pStyle w:val="11"/>
      <w:lvlText w:val="%1.%2.%3.%4.%5.%6"/>
      <w:lvlJc w:val="left"/>
      <w:pPr>
        <w:tabs>
          <w:tab w:val="left" w:pos="1152"/>
        </w:tabs>
        <w:ind w:left="1152" w:hanging="1152"/>
      </w:pPr>
    </w:lvl>
    <w:lvl w:ilvl="6" w:tentative="0">
      <w:start w:val="1"/>
      <w:numFmt w:val="decimal"/>
      <w:pStyle w:val="12"/>
      <w:lvlText w:val="%1.%2.%3.%4.%5.%6.%7"/>
      <w:lvlJc w:val="left"/>
      <w:pPr>
        <w:tabs>
          <w:tab w:val="left" w:pos="1296"/>
        </w:tabs>
        <w:ind w:left="1296" w:hanging="1296"/>
      </w:pPr>
    </w:lvl>
    <w:lvl w:ilvl="7" w:tentative="0">
      <w:start w:val="1"/>
      <w:numFmt w:val="decimal"/>
      <w:pStyle w:val="13"/>
      <w:lvlText w:val="%1.%2.%3.%4.%5.%6.%7.%8"/>
      <w:lvlJc w:val="left"/>
      <w:pPr>
        <w:tabs>
          <w:tab w:val="left" w:pos="1440"/>
        </w:tabs>
        <w:ind w:left="1440" w:hanging="1440"/>
      </w:pPr>
    </w:lvl>
    <w:lvl w:ilvl="8" w:tentative="0">
      <w:start w:val="1"/>
      <w:numFmt w:val="decimal"/>
      <w:pStyle w:val="14"/>
      <w:lvlText w:val="%1.%2.%3.%4.%5.%6.%7.%8.%9"/>
      <w:lvlJc w:val="left"/>
      <w:pPr>
        <w:tabs>
          <w:tab w:val="left" w:pos="1584"/>
        </w:tabs>
        <w:ind w:left="1584" w:hanging="1584"/>
      </w:pPr>
    </w:lvl>
  </w:abstractNum>
  <w:abstractNum w:abstractNumId="1">
    <w:nsid w:val="4D435891"/>
    <w:multiLevelType w:val="multilevel"/>
    <w:tmpl w:val="4D435891"/>
    <w:lvl w:ilvl="0" w:tentative="0">
      <w:start w:val="1"/>
      <w:numFmt w:val="decimal"/>
      <w:pStyle w:val="4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101505E"/>
    <w:multiLevelType w:val="multilevel"/>
    <w:tmpl w:val="5101505E"/>
    <w:lvl w:ilvl="0" w:tentative="0">
      <w:start w:val="1"/>
      <w:numFmt w:val="decimal"/>
      <w:pStyle w:val="53"/>
      <w:lvlText w:val="Observation %1"/>
      <w:lvlJc w:val="left"/>
      <w:pPr>
        <w:ind w:left="3195" w:hanging="360"/>
      </w:pPr>
      <w:rPr>
        <w:rFonts w:hint="default"/>
        <w:b/>
        <w:bCs/>
      </w:rPr>
    </w:lvl>
    <w:lvl w:ilvl="1" w:tentative="0">
      <w:start w:val="1"/>
      <w:numFmt w:val="lowerLetter"/>
      <w:lvlText w:val="%2."/>
      <w:lvlJc w:val="left"/>
      <w:pPr>
        <w:ind w:left="4275" w:hanging="360"/>
      </w:pPr>
    </w:lvl>
    <w:lvl w:ilvl="2" w:tentative="0">
      <w:start w:val="1"/>
      <w:numFmt w:val="lowerRoman"/>
      <w:lvlText w:val="%3."/>
      <w:lvlJc w:val="right"/>
      <w:pPr>
        <w:ind w:left="4995" w:hanging="180"/>
      </w:pPr>
    </w:lvl>
    <w:lvl w:ilvl="3" w:tentative="0">
      <w:start w:val="1"/>
      <w:numFmt w:val="decimal"/>
      <w:lvlText w:val="%4."/>
      <w:lvlJc w:val="left"/>
      <w:pPr>
        <w:ind w:left="5715" w:hanging="360"/>
      </w:pPr>
    </w:lvl>
    <w:lvl w:ilvl="4" w:tentative="0">
      <w:start w:val="1"/>
      <w:numFmt w:val="lowerLetter"/>
      <w:lvlText w:val="%5."/>
      <w:lvlJc w:val="left"/>
      <w:pPr>
        <w:ind w:left="6435" w:hanging="360"/>
      </w:pPr>
    </w:lvl>
    <w:lvl w:ilvl="5" w:tentative="0">
      <w:start w:val="1"/>
      <w:numFmt w:val="lowerRoman"/>
      <w:lvlText w:val="%6."/>
      <w:lvlJc w:val="right"/>
      <w:pPr>
        <w:ind w:left="7155" w:hanging="180"/>
      </w:pPr>
    </w:lvl>
    <w:lvl w:ilvl="6" w:tentative="0">
      <w:start w:val="1"/>
      <w:numFmt w:val="decimal"/>
      <w:lvlText w:val="%7."/>
      <w:lvlJc w:val="left"/>
      <w:pPr>
        <w:ind w:left="7875" w:hanging="360"/>
      </w:pPr>
    </w:lvl>
    <w:lvl w:ilvl="7" w:tentative="0">
      <w:start w:val="1"/>
      <w:numFmt w:val="lowerLetter"/>
      <w:lvlText w:val="%8."/>
      <w:lvlJc w:val="left"/>
      <w:pPr>
        <w:ind w:left="8595" w:hanging="360"/>
      </w:pPr>
    </w:lvl>
    <w:lvl w:ilvl="8" w:tentative="0">
      <w:start w:val="1"/>
      <w:numFmt w:val="lowerRoman"/>
      <w:lvlText w:val="%9."/>
      <w:lvlJc w:val="right"/>
      <w:pPr>
        <w:ind w:left="9315" w:hanging="180"/>
      </w:pPr>
    </w:lvl>
  </w:abstractNum>
  <w:abstractNum w:abstractNumId="3">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4">
    <w:nsid w:val="70146DC0"/>
    <w:multiLevelType w:val="multilevel"/>
    <w:tmpl w:val="70146DC0"/>
    <w:lvl w:ilvl="0" w:tentative="0">
      <w:start w:val="1"/>
      <w:numFmt w:val="bullet"/>
      <w:pStyle w:val="5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DEE"/>
    <w:rsid w:val="000005C6"/>
    <w:rsid w:val="00000B8E"/>
    <w:rsid w:val="0000109A"/>
    <w:rsid w:val="0000220D"/>
    <w:rsid w:val="0000300A"/>
    <w:rsid w:val="000046BE"/>
    <w:rsid w:val="00004EF6"/>
    <w:rsid w:val="00004F8D"/>
    <w:rsid w:val="000060DE"/>
    <w:rsid w:val="000063AB"/>
    <w:rsid w:val="00006BF3"/>
    <w:rsid w:val="00007569"/>
    <w:rsid w:val="00007949"/>
    <w:rsid w:val="00007A0E"/>
    <w:rsid w:val="000106BB"/>
    <w:rsid w:val="000117AA"/>
    <w:rsid w:val="000134FF"/>
    <w:rsid w:val="0001406F"/>
    <w:rsid w:val="00014A92"/>
    <w:rsid w:val="00015B66"/>
    <w:rsid w:val="000164BB"/>
    <w:rsid w:val="00016E48"/>
    <w:rsid w:val="00016F17"/>
    <w:rsid w:val="000174CF"/>
    <w:rsid w:val="00017C8C"/>
    <w:rsid w:val="000208F8"/>
    <w:rsid w:val="00021353"/>
    <w:rsid w:val="0002192E"/>
    <w:rsid w:val="00021B10"/>
    <w:rsid w:val="000232B5"/>
    <w:rsid w:val="00023EB0"/>
    <w:rsid w:val="0002456B"/>
    <w:rsid w:val="00024FF7"/>
    <w:rsid w:val="00025365"/>
    <w:rsid w:val="00025A55"/>
    <w:rsid w:val="00025BA3"/>
    <w:rsid w:val="00026421"/>
    <w:rsid w:val="00027B12"/>
    <w:rsid w:val="00030482"/>
    <w:rsid w:val="00030999"/>
    <w:rsid w:val="000312E4"/>
    <w:rsid w:val="00031E1D"/>
    <w:rsid w:val="0003244F"/>
    <w:rsid w:val="00032C50"/>
    <w:rsid w:val="00032EE1"/>
    <w:rsid w:val="0003368B"/>
    <w:rsid w:val="00034F4C"/>
    <w:rsid w:val="00035521"/>
    <w:rsid w:val="000355EB"/>
    <w:rsid w:val="0003597B"/>
    <w:rsid w:val="0003660F"/>
    <w:rsid w:val="0004061A"/>
    <w:rsid w:val="0004111C"/>
    <w:rsid w:val="00041BF9"/>
    <w:rsid w:val="00042328"/>
    <w:rsid w:val="000426E1"/>
    <w:rsid w:val="00043376"/>
    <w:rsid w:val="000442BE"/>
    <w:rsid w:val="00044408"/>
    <w:rsid w:val="000445D4"/>
    <w:rsid w:val="000449D8"/>
    <w:rsid w:val="00044A4F"/>
    <w:rsid w:val="00045DCB"/>
    <w:rsid w:val="000462E4"/>
    <w:rsid w:val="00046F96"/>
    <w:rsid w:val="0005105A"/>
    <w:rsid w:val="00051A6C"/>
    <w:rsid w:val="00051BBD"/>
    <w:rsid w:val="00054173"/>
    <w:rsid w:val="00054920"/>
    <w:rsid w:val="00054EA4"/>
    <w:rsid w:val="00054F44"/>
    <w:rsid w:val="00056E9F"/>
    <w:rsid w:val="00056F6F"/>
    <w:rsid w:val="00061268"/>
    <w:rsid w:val="00061FB3"/>
    <w:rsid w:val="00062222"/>
    <w:rsid w:val="00062433"/>
    <w:rsid w:val="00062638"/>
    <w:rsid w:val="00062D0D"/>
    <w:rsid w:val="000637CE"/>
    <w:rsid w:val="0006588C"/>
    <w:rsid w:val="00066D84"/>
    <w:rsid w:val="00066F93"/>
    <w:rsid w:val="0006729B"/>
    <w:rsid w:val="000676B8"/>
    <w:rsid w:val="00067865"/>
    <w:rsid w:val="00067B40"/>
    <w:rsid w:val="000715CF"/>
    <w:rsid w:val="00072176"/>
    <w:rsid w:val="00075706"/>
    <w:rsid w:val="0007602D"/>
    <w:rsid w:val="00076956"/>
    <w:rsid w:val="00076BA9"/>
    <w:rsid w:val="000776E8"/>
    <w:rsid w:val="00081261"/>
    <w:rsid w:val="000812B4"/>
    <w:rsid w:val="00081B2F"/>
    <w:rsid w:val="00081FD9"/>
    <w:rsid w:val="000824D4"/>
    <w:rsid w:val="000835B4"/>
    <w:rsid w:val="000837F3"/>
    <w:rsid w:val="000839A6"/>
    <w:rsid w:val="00084848"/>
    <w:rsid w:val="000856B6"/>
    <w:rsid w:val="00085AC3"/>
    <w:rsid w:val="00085CCA"/>
    <w:rsid w:val="00086F8A"/>
    <w:rsid w:val="00087574"/>
    <w:rsid w:val="00087774"/>
    <w:rsid w:val="000878E8"/>
    <w:rsid w:val="000915FE"/>
    <w:rsid w:val="00093D3B"/>
    <w:rsid w:val="00094C2A"/>
    <w:rsid w:val="00094FD0"/>
    <w:rsid w:val="000950AD"/>
    <w:rsid w:val="00096D1F"/>
    <w:rsid w:val="00097EAB"/>
    <w:rsid w:val="000A0011"/>
    <w:rsid w:val="000A0EF5"/>
    <w:rsid w:val="000A247D"/>
    <w:rsid w:val="000A2714"/>
    <w:rsid w:val="000A3813"/>
    <w:rsid w:val="000A454F"/>
    <w:rsid w:val="000A6AD0"/>
    <w:rsid w:val="000A7216"/>
    <w:rsid w:val="000A7E2E"/>
    <w:rsid w:val="000B065A"/>
    <w:rsid w:val="000B0F60"/>
    <w:rsid w:val="000B10E8"/>
    <w:rsid w:val="000B14D2"/>
    <w:rsid w:val="000B1530"/>
    <w:rsid w:val="000B2453"/>
    <w:rsid w:val="000B2544"/>
    <w:rsid w:val="000B2C13"/>
    <w:rsid w:val="000B2EF1"/>
    <w:rsid w:val="000B3491"/>
    <w:rsid w:val="000B553E"/>
    <w:rsid w:val="000B66B7"/>
    <w:rsid w:val="000B73EB"/>
    <w:rsid w:val="000C0DBA"/>
    <w:rsid w:val="000C18FB"/>
    <w:rsid w:val="000C1E8D"/>
    <w:rsid w:val="000C2085"/>
    <w:rsid w:val="000C2298"/>
    <w:rsid w:val="000C3128"/>
    <w:rsid w:val="000C49AA"/>
    <w:rsid w:val="000C50A9"/>
    <w:rsid w:val="000C68C4"/>
    <w:rsid w:val="000C7218"/>
    <w:rsid w:val="000D0A6A"/>
    <w:rsid w:val="000D0B08"/>
    <w:rsid w:val="000D14D1"/>
    <w:rsid w:val="000D1E6E"/>
    <w:rsid w:val="000D5D90"/>
    <w:rsid w:val="000D68BC"/>
    <w:rsid w:val="000D6B17"/>
    <w:rsid w:val="000D6EBE"/>
    <w:rsid w:val="000D71B6"/>
    <w:rsid w:val="000D77BF"/>
    <w:rsid w:val="000D7C67"/>
    <w:rsid w:val="000E0C72"/>
    <w:rsid w:val="000E104A"/>
    <w:rsid w:val="000E1FDA"/>
    <w:rsid w:val="000E21ED"/>
    <w:rsid w:val="000E347F"/>
    <w:rsid w:val="000E3DFA"/>
    <w:rsid w:val="000E4E3B"/>
    <w:rsid w:val="000E5027"/>
    <w:rsid w:val="000E5493"/>
    <w:rsid w:val="000E5931"/>
    <w:rsid w:val="000E780C"/>
    <w:rsid w:val="000E78CF"/>
    <w:rsid w:val="000E7F6F"/>
    <w:rsid w:val="000F0C6A"/>
    <w:rsid w:val="000F21AD"/>
    <w:rsid w:val="000F2B47"/>
    <w:rsid w:val="000F2D32"/>
    <w:rsid w:val="000F38BE"/>
    <w:rsid w:val="000F3CC8"/>
    <w:rsid w:val="000F40DF"/>
    <w:rsid w:val="000F441D"/>
    <w:rsid w:val="000F4503"/>
    <w:rsid w:val="000F544D"/>
    <w:rsid w:val="000F6611"/>
    <w:rsid w:val="000F78FA"/>
    <w:rsid w:val="00100893"/>
    <w:rsid w:val="00101AB6"/>
    <w:rsid w:val="00101C4E"/>
    <w:rsid w:val="00104044"/>
    <w:rsid w:val="00106371"/>
    <w:rsid w:val="0010697A"/>
    <w:rsid w:val="00106E19"/>
    <w:rsid w:val="00106EEA"/>
    <w:rsid w:val="00106EEF"/>
    <w:rsid w:val="0010754A"/>
    <w:rsid w:val="00110B08"/>
    <w:rsid w:val="00110E88"/>
    <w:rsid w:val="00111FAE"/>
    <w:rsid w:val="00112FFE"/>
    <w:rsid w:val="00113043"/>
    <w:rsid w:val="001135EF"/>
    <w:rsid w:val="00113CE0"/>
    <w:rsid w:val="0011485C"/>
    <w:rsid w:val="001159B2"/>
    <w:rsid w:val="00115BFB"/>
    <w:rsid w:val="00115E70"/>
    <w:rsid w:val="001168BB"/>
    <w:rsid w:val="00116A86"/>
    <w:rsid w:val="001203DE"/>
    <w:rsid w:val="00120A09"/>
    <w:rsid w:val="00121DC3"/>
    <w:rsid w:val="00122415"/>
    <w:rsid w:val="001239B0"/>
    <w:rsid w:val="00124E65"/>
    <w:rsid w:val="001258F9"/>
    <w:rsid w:val="00125C6D"/>
    <w:rsid w:val="00127585"/>
    <w:rsid w:val="001314EB"/>
    <w:rsid w:val="001314FC"/>
    <w:rsid w:val="001316BE"/>
    <w:rsid w:val="001323C2"/>
    <w:rsid w:val="00135363"/>
    <w:rsid w:val="00135DAF"/>
    <w:rsid w:val="00136283"/>
    <w:rsid w:val="001364EF"/>
    <w:rsid w:val="001378AD"/>
    <w:rsid w:val="001378D2"/>
    <w:rsid w:val="00140576"/>
    <w:rsid w:val="001407A3"/>
    <w:rsid w:val="00141B0B"/>
    <w:rsid w:val="001429DB"/>
    <w:rsid w:val="00143636"/>
    <w:rsid w:val="00144F15"/>
    <w:rsid w:val="00145B5F"/>
    <w:rsid w:val="00145CDF"/>
    <w:rsid w:val="00146067"/>
    <w:rsid w:val="0014710D"/>
    <w:rsid w:val="001479F4"/>
    <w:rsid w:val="00147C0D"/>
    <w:rsid w:val="00147D33"/>
    <w:rsid w:val="0015056F"/>
    <w:rsid w:val="00150FF0"/>
    <w:rsid w:val="00151883"/>
    <w:rsid w:val="0015218B"/>
    <w:rsid w:val="0015250A"/>
    <w:rsid w:val="00152D0D"/>
    <w:rsid w:val="001531A6"/>
    <w:rsid w:val="0015392A"/>
    <w:rsid w:val="00153FD1"/>
    <w:rsid w:val="00155477"/>
    <w:rsid w:val="00156F77"/>
    <w:rsid w:val="0016006C"/>
    <w:rsid w:val="001610D1"/>
    <w:rsid w:val="00161E4D"/>
    <w:rsid w:val="001628F4"/>
    <w:rsid w:val="00162E44"/>
    <w:rsid w:val="00163902"/>
    <w:rsid w:val="00164D8B"/>
    <w:rsid w:val="00165A48"/>
    <w:rsid w:val="00166058"/>
    <w:rsid w:val="0016634C"/>
    <w:rsid w:val="001665B0"/>
    <w:rsid w:val="00166DEB"/>
    <w:rsid w:val="001677C0"/>
    <w:rsid w:val="00167822"/>
    <w:rsid w:val="0017014E"/>
    <w:rsid w:val="0017089A"/>
    <w:rsid w:val="00171A65"/>
    <w:rsid w:val="00171C32"/>
    <w:rsid w:val="001724AC"/>
    <w:rsid w:val="00172E22"/>
    <w:rsid w:val="001737F7"/>
    <w:rsid w:val="00173F5D"/>
    <w:rsid w:val="00175C2F"/>
    <w:rsid w:val="001764A2"/>
    <w:rsid w:val="00177B56"/>
    <w:rsid w:val="00180EB4"/>
    <w:rsid w:val="0018236E"/>
    <w:rsid w:val="00182A61"/>
    <w:rsid w:val="0018332E"/>
    <w:rsid w:val="00184B39"/>
    <w:rsid w:val="0018541F"/>
    <w:rsid w:val="0018594B"/>
    <w:rsid w:val="00186B63"/>
    <w:rsid w:val="00186D83"/>
    <w:rsid w:val="00186E2C"/>
    <w:rsid w:val="00187613"/>
    <w:rsid w:val="00190563"/>
    <w:rsid w:val="00190B99"/>
    <w:rsid w:val="00190F74"/>
    <w:rsid w:val="00191228"/>
    <w:rsid w:val="00191D3D"/>
    <w:rsid w:val="0019246D"/>
    <w:rsid w:val="001936A0"/>
    <w:rsid w:val="00193B90"/>
    <w:rsid w:val="00194F02"/>
    <w:rsid w:val="00196436"/>
    <w:rsid w:val="0019749F"/>
    <w:rsid w:val="00197F6D"/>
    <w:rsid w:val="001A065A"/>
    <w:rsid w:val="001A0735"/>
    <w:rsid w:val="001A0DFA"/>
    <w:rsid w:val="001A136F"/>
    <w:rsid w:val="001A21A2"/>
    <w:rsid w:val="001A3478"/>
    <w:rsid w:val="001A5274"/>
    <w:rsid w:val="001A5FD7"/>
    <w:rsid w:val="001A780E"/>
    <w:rsid w:val="001A78DA"/>
    <w:rsid w:val="001A7F8A"/>
    <w:rsid w:val="001B05E6"/>
    <w:rsid w:val="001B0CFB"/>
    <w:rsid w:val="001B0D00"/>
    <w:rsid w:val="001B3489"/>
    <w:rsid w:val="001B3FF6"/>
    <w:rsid w:val="001B5A0D"/>
    <w:rsid w:val="001B6503"/>
    <w:rsid w:val="001B7312"/>
    <w:rsid w:val="001C18E1"/>
    <w:rsid w:val="001C196D"/>
    <w:rsid w:val="001C225C"/>
    <w:rsid w:val="001C2783"/>
    <w:rsid w:val="001C2CD1"/>
    <w:rsid w:val="001C3575"/>
    <w:rsid w:val="001C3F04"/>
    <w:rsid w:val="001C47D7"/>
    <w:rsid w:val="001C4CB2"/>
    <w:rsid w:val="001C5723"/>
    <w:rsid w:val="001C5C21"/>
    <w:rsid w:val="001C5D2A"/>
    <w:rsid w:val="001C606B"/>
    <w:rsid w:val="001C6638"/>
    <w:rsid w:val="001C68B4"/>
    <w:rsid w:val="001C7F4A"/>
    <w:rsid w:val="001D0911"/>
    <w:rsid w:val="001D1A8B"/>
    <w:rsid w:val="001D2203"/>
    <w:rsid w:val="001D2C20"/>
    <w:rsid w:val="001D4BA9"/>
    <w:rsid w:val="001D55AD"/>
    <w:rsid w:val="001D5CF0"/>
    <w:rsid w:val="001D654E"/>
    <w:rsid w:val="001D6A45"/>
    <w:rsid w:val="001D7C81"/>
    <w:rsid w:val="001E0911"/>
    <w:rsid w:val="001E228E"/>
    <w:rsid w:val="001E2BCA"/>
    <w:rsid w:val="001E2BD4"/>
    <w:rsid w:val="001E3477"/>
    <w:rsid w:val="001E3C4E"/>
    <w:rsid w:val="001E43C2"/>
    <w:rsid w:val="001E44D8"/>
    <w:rsid w:val="001E47F7"/>
    <w:rsid w:val="001E4FE0"/>
    <w:rsid w:val="001E5123"/>
    <w:rsid w:val="001E5F85"/>
    <w:rsid w:val="001E7479"/>
    <w:rsid w:val="001F0B2D"/>
    <w:rsid w:val="001F2517"/>
    <w:rsid w:val="001F25F9"/>
    <w:rsid w:val="001F3CBE"/>
    <w:rsid w:val="001F4F97"/>
    <w:rsid w:val="001F60CD"/>
    <w:rsid w:val="001F65E7"/>
    <w:rsid w:val="001F7357"/>
    <w:rsid w:val="001F7945"/>
    <w:rsid w:val="001F7B58"/>
    <w:rsid w:val="001F7B6B"/>
    <w:rsid w:val="00200CA4"/>
    <w:rsid w:val="00201BBB"/>
    <w:rsid w:val="00204B69"/>
    <w:rsid w:val="002056A3"/>
    <w:rsid w:val="002058FD"/>
    <w:rsid w:val="00205ABC"/>
    <w:rsid w:val="0020630A"/>
    <w:rsid w:val="0020649C"/>
    <w:rsid w:val="002066BF"/>
    <w:rsid w:val="00206981"/>
    <w:rsid w:val="00207CD9"/>
    <w:rsid w:val="00207ECA"/>
    <w:rsid w:val="002101F7"/>
    <w:rsid w:val="00210845"/>
    <w:rsid w:val="002111A2"/>
    <w:rsid w:val="00211A1E"/>
    <w:rsid w:val="002132FF"/>
    <w:rsid w:val="00213E9F"/>
    <w:rsid w:val="002149A6"/>
    <w:rsid w:val="00214FB4"/>
    <w:rsid w:val="0021513D"/>
    <w:rsid w:val="00216A2E"/>
    <w:rsid w:val="002177D5"/>
    <w:rsid w:val="002203D1"/>
    <w:rsid w:val="002206FB"/>
    <w:rsid w:val="002208BB"/>
    <w:rsid w:val="00221037"/>
    <w:rsid w:val="002217E1"/>
    <w:rsid w:val="00221BE1"/>
    <w:rsid w:val="00221FD3"/>
    <w:rsid w:val="00222B62"/>
    <w:rsid w:val="002241DC"/>
    <w:rsid w:val="002243D8"/>
    <w:rsid w:val="00225327"/>
    <w:rsid w:val="00225DD9"/>
    <w:rsid w:val="002269C1"/>
    <w:rsid w:val="00226CA8"/>
    <w:rsid w:val="0023010A"/>
    <w:rsid w:val="002307D2"/>
    <w:rsid w:val="002326BA"/>
    <w:rsid w:val="00233171"/>
    <w:rsid w:val="002338C4"/>
    <w:rsid w:val="00233A10"/>
    <w:rsid w:val="00234629"/>
    <w:rsid w:val="00234B29"/>
    <w:rsid w:val="00234C90"/>
    <w:rsid w:val="00234F15"/>
    <w:rsid w:val="00235044"/>
    <w:rsid w:val="00235905"/>
    <w:rsid w:val="002401A3"/>
    <w:rsid w:val="002408A9"/>
    <w:rsid w:val="00241860"/>
    <w:rsid w:val="00242687"/>
    <w:rsid w:val="002426BE"/>
    <w:rsid w:val="00242ECA"/>
    <w:rsid w:val="002460D7"/>
    <w:rsid w:val="002465AC"/>
    <w:rsid w:val="00246A7C"/>
    <w:rsid w:val="00247515"/>
    <w:rsid w:val="00250312"/>
    <w:rsid w:val="0025098A"/>
    <w:rsid w:val="00250CD1"/>
    <w:rsid w:val="00250FC1"/>
    <w:rsid w:val="00251370"/>
    <w:rsid w:val="00251591"/>
    <w:rsid w:val="00251F14"/>
    <w:rsid w:val="0025202B"/>
    <w:rsid w:val="00252EEA"/>
    <w:rsid w:val="00253955"/>
    <w:rsid w:val="0025695B"/>
    <w:rsid w:val="00260B2B"/>
    <w:rsid w:val="00261AE7"/>
    <w:rsid w:val="0026256E"/>
    <w:rsid w:val="0026279F"/>
    <w:rsid w:val="00263320"/>
    <w:rsid w:val="002644E5"/>
    <w:rsid w:val="00264E0A"/>
    <w:rsid w:val="00265323"/>
    <w:rsid w:val="0026543D"/>
    <w:rsid w:val="0026551E"/>
    <w:rsid w:val="00272286"/>
    <w:rsid w:val="002731BC"/>
    <w:rsid w:val="0027553A"/>
    <w:rsid w:val="00280437"/>
    <w:rsid w:val="00280DA6"/>
    <w:rsid w:val="00280E43"/>
    <w:rsid w:val="002818A9"/>
    <w:rsid w:val="00282374"/>
    <w:rsid w:val="00283F5C"/>
    <w:rsid w:val="00284273"/>
    <w:rsid w:val="002857A6"/>
    <w:rsid w:val="00285957"/>
    <w:rsid w:val="0028674A"/>
    <w:rsid w:val="00286E27"/>
    <w:rsid w:val="002907B0"/>
    <w:rsid w:val="00291DDD"/>
    <w:rsid w:val="002928DC"/>
    <w:rsid w:val="00292D16"/>
    <w:rsid w:val="00293958"/>
    <w:rsid w:val="00293B18"/>
    <w:rsid w:val="00295669"/>
    <w:rsid w:val="002963A5"/>
    <w:rsid w:val="002966FC"/>
    <w:rsid w:val="002971BA"/>
    <w:rsid w:val="002975DD"/>
    <w:rsid w:val="002A1B93"/>
    <w:rsid w:val="002A20C4"/>
    <w:rsid w:val="002A2510"/>
    <w:rsid w:val="002A2ADE"/>
    <w:rsid w:val="002A2D0E"/>
    <w:rsid w:val="002A31B6"/>
    <w:rsid w:val="002A3A66"/>
    <w:rsid w:val="002A3CBC"/>
    <w:rsid w:val="002A5B31"/>
    <w:rsid w:val="002A5B35"/>
    <w:rsid w:val="002A73EF"/>
    <w:rsid w:val="002A774C"/>
    <w:rsid w:val="002A7C5D"/>
    <w:rsid w:val="002B1B85"/>
    <w:rsid w:val="002B309E"/>
    <w:rsid w:val="002B32BD"/>
    <w:rsid w:val="002B3BC5"/>
    <w:rsid w:val="002B4604"/>
    <w:rsid w:val="002B4F1E"/>
    <w:rsid w:val="002B5716"/>
    <w:rsid w:val="002B60E2"/>
    <w:rsid w:val="002B71C1"/>
    <w:rsid w:val="002B7DB3"/>
    <w:rsid w:val="002C28F3"/>
    <w:rsid w:val="002C2E3B"/>
    <w:rsid w:val="002C342A"/>
    <w:rsid w:val="002C37D9"/>
    <w:rsid w:val="002C3852"/>
    <w:rsid w:val="002C4251"/>
    <w:rsid w:val="002C4C36"/>
    <w:rsid w:val="002C6472"/>
    <w:rsid w:val="002C7A45"/>
    <w:rsid w:val="002D1340"/>
    <w:rsid w:val="002D2125"/>
    <w:rsid w:val="002D23C7"/>
    <w:rsid w:val="002D2D11"/>
    <w:rsid w:val="002D5C86"/>
    <w:rsid w:val="002E169A"/>
    <w:rsid w:val="002E17D7"/>
    <w:rsid w:val="002E239F"/>
    <w:rsid w:val="002E242F"/>
    <w:rsid w:val="002E2E86"/>
    <w:rsid w:val="002E3333"/>
    <w:rsid w:val="002E37E0"/>
    <w:rsid w:val="002E3E69"/>
    <w:rsid w:val="002E43B9"/>
    <w:rsid w:val="002E4946"/>
    <w:rsid w:val="002E5C23"/>
    <w:rsid w:val="002E5DA0"/>
    <w:rsid w:val="002E6391"/>
    <w:rsid w:val="002F11C6"/>
    <w:rsid w:val="002F1B87"/>
    <w:rsid w:val="002F1C12"/>
    <w:rsid w:val="002F23FD"/>
    <w:rsid w:val="002F2AAC"/>
    <w:rsid w:val="002F3140"/>
    <w:rsid w:val="002F3AEC"/>
    <w:rsid w:val="002F4210"/>
    <w:rsid w:val="002F48E9"/>
    <w:rsid w:val="002F4EA6"/>
    <w:rsid w:val="002F53A8"/>
    <w:rsid w:val="002F53BC"/>
    <w:rsid w:val="002F6929"/>
    <w:rsid w:val="002F6969"/>
    <w:rsid w:val="002F6BF5"/>
    <w:rsid w:val="00300048"/>
    <w:rsid w:val="0030040B"/>
    <w:rsid w:val="00300531"/>
    <w:rsid w:val="00301926"/>
    <w:rsid w:val="003021CA"/>
    <w:rsid w:val="00302A83"/>
    <w:rsid w:val="003059CD"/>
    <w:rsid w:val="00307389"/>
    <w:rsid w:val="00311B3A"/>
    <w:rsid w:val="00312915"/>
    <w:rsid w:val="00313718"/>
    <w:rsid w:val="0031690E"/>
    <w:rsid w:val="003178EA"/>
    <w:rsid w:val="00317BD3"/>
    <w:rsid w:val="00317BF9"/>
    <w:rsid w:val="003200E4"/>
    <w:rsid w:val="0032102E"/>
    <w:rsid w:val="003215A3"/>
    <w:rsid w:val="00321EF6"/>
    <w:rsid w:val="00322EEC"/>
    <w:rsid w:val="00323360"/>
    <w:rsid w:val="0032344F"/>
    <w:rsid w:val="00323ED4"/>
    <w:rsid w:val="00324A5E"/>
    <w:rsid w:val="00324DBE"/>
    <w:rsid w:val="0032547A"/>
    <w:rsid w:val="00325A2A"/>
    <w:rsid w:val="003266DE"/>
    <w:rsid w:val="00327576"/>
    <w:rsid w:val="003276E3"/>
    <w:rsid w:val="00327E33"/>
    <w:rsid w:val="00330403"/>
    <w:rsid w:val="003304DB"/>
    <w:rsid w:val="00330612"/>
    <w:rsid w:val="00331AD4"/>
    <w:rsid w:val="00332416"/>
    <w:rsid w:val="003335A9"/>
    <w:rsid w:val="00333F59"/>
    <w:rsid w:val="00334C3A"/>
    <w:rsid w:val="00334CF1"/>
    <w:rsid w:val="00334E9D"/>
    <w:rsid w:val="003369E7"/>
    <w:rsid w:val="00337D0D"/>
    <w:rsid w:val="00337F52"/>
    <w:rsid w:val="003433D5"/>
    <w:rsid w:val="0034392D"/>
    <w:rsid w:val="00343C20"/>
    <w:rsid w:val="00343E11"/>
    <w:rsid w:val="00344519"/>
    <w:rsid w:val="003446B7"/>
    <w:rsid w:val="00344C7E"/>
    <w:rsid w:val="00345308"/>
    <w:rsid w:val="00347C33"/>
    <w:rsid w:val="003500B8"/>
    <w:rsid w:val="00350DEA"/>
    <w:rsid w:val="0035192F"/>
    <w:rsid w:val="00351A4E"/>
    <w:rsid w:val="00352C6B"/>
    <w:rsid w:val="00356FFB"/>
    <w:rsid w:val="003570A0"/>
    <w:rsid w:val="0035763E"/>
    <w:rsid w:val="00357BE4"/>
    <w:rsid w:val="003609D9"/>
    <w:rsid w:val="00360BCD"/>
    <w:rsid w:val="0036126D"/>
    <w:rsid w:val="00361815"/>
    <w:rsid w:val="003618CB"/>
    <w:rsid w:val="00363CD1"/>
    <w:rsid w:val="003646E7"/>
    <w:rsid w:val="0036576C"/>
    <w:rsid w:val="00366535"/>
    <w:rsid w:val="00366C7A"/>
    <w:rsid w:val="00366D0F"/>
    <w:rsid w:val="003704EB"/>
    <w:rsid w:val="00371C44"/>
    <w:rsid w:val="003720CA"/>
    <w:rsid w:val="003722A5"/>
    <w:rsid w:val="0037407C"/>
    <w:rsid w:val="003753A1"/>
    <w:rsid w:val="00375745"/>
    <w:rsid w:val="003763B5"/>
    <w:rsid w:val="0037663F"/>
    <w:rsid w:val="0037684F"/>
    <w:rsid w:val="00376B47"/>
    <w:rsid w:val="00377E84"/>
    <w:rsid w:val="00377F3C"/>
    <w:rsid w:val="00380018"/>
    <w:rsid w:val="00380794"/>
    <w:rsid w:val="003809CC"/>
    <w:rsid w:val="00381085"/>
    <w:rsid w:val="00381236"/>
    <w:rsid w:val="003813A1"/>
    <w:rsid w:val="00382E29"/>
    <w:rsid w:val="00383353"/>
    <w:rsid w:val="0038479B"/>
    <w:rsid w:val="003860C7"/>
    <w:rsid w:val="00390B14"/>
    <w:rsid w:val="00392FB7"/>
    <w:rsid w:val="00394E45"/>
    <w:rsid w:val="00395729"/>
    <w:rsid w:val="00395B1C"/>
    <w:rsid w:val="00396E0A"/>
    <w:rsid w:val="00397DB4"/>
    <w:rsid w:val="003A16F5"/>
    <w:rsid w:val="003A1A41"/>
    <w:rsid w:val="003A2F5E"/>
    <w:rsid w:val="003A3107"/>
    <w:rsid w:val="003A3147"/>
    <w:rsid w:val="003A3593"/>
    <w:rsid w:val="003A467B"/>
    <w:rsid w:val="003A4D12"/>
    <w:rsid w:val="003A53CC"/>
    <w:rsid w:val="003A56A2"/>
    <w:rsid w:val="003A60F7"/>
    <w:rsid w:val="003A738A"/>
    <w:rsid w:val="003A7D8A"/>
    <w:rsid w:val="003B283A"/>
    <w:rsid w:val="003B2E0C"/>
    <w:rsid w:val="003B37E3"/>
    <w:rsid w:val="003B4025"/>
    <w:rsid w:val="003B4388"/>
    <w:rsid w:val="003B48A9"/>
    <w:rsid w:val="003B751C"/>
    <w:rsid w:val="003B7981"/>
    <w:rsid w:val="003C06A8"/>
    <w:rsid w:val="003C1ABA"/>
    <w:rsid w:val="003C2982"/>
    <w:rsid w:val="003C4BE2"/>
    <w:rsid w:val="003C68CA"/>
    <w:rsid w:val="003C77D3"/>
    <w:rsid w:val="003C7A1B"/>
    <w:rsid w:val="003C7FA5"/>
    <w:rsid w:val="003D12A7"/>
    <w:rsid w:val="003D1519"/>
    <w:rsid w:val="003D1845"/>
    <w:rsid w:val="003D1FD5"/>
    <w:rsid w:val="003D282D"/>
    <w:rsid w:val="003D411B"/>
    <w:rsid w:val="003D4229"/>
    <w:rsid w:val="003D47A6"/>
    <w:rsid w:val="003D4BB1"/>
    <w:rsid w:val="003D6E90"/>
    <w:rsid w:val="003D7B0B"/>
    <w:rsid w:val="003E18E8"/>
    <w:rsid w:val="003E2CA6"/>
    <w:rsid w:val="003E394F"/>
    <w:rsid w:val="003E3BA4"/>
    <w:rsid w:val="003E429E"/>
    <w:rsid w:val="003E6980"/>
    <w:rsid w:val="003E773E"/>
    <w:rsid w:val="003F0596"/>
    <w:rsid w:val="003F09D0"/>
    <w:rsid w:val="003F0CBA"/>
    <w:rsid w:val="003F1A3D"/>
    <w:rsid w:val="003F2477"/>
    <w:rsid w:val="003F38BB"/>
    <w:rsid w:val="003F61DB"/>
    <w:rsid w:val="00400891"/>
    <w:rsid w:val="004008AC"/>
    <w:rsid w:val="0040098F"/>
    <w:rsid w:val="00400BC3"/>
    <w:rsid w:val="004011CA"/>
    <w:rsid w:val="00401E81"/>
    <w:rsid w:val="00401FC3"/>
    <w:rsid w:val="004032C6"/>
    <w:rsid w:val="0040357F"/>
    <w:rsid w:val="00404DEC"/>
    <w:rsid w:val="00405B9C"/>
    <w:rsid w:val="00405E20"/>
    <w:rsid w:val="00405F84"/>
    <w:rsid w:val="00406390"/>
    <w:rsid w:val="00406ABD"/>
    <w:rsid w:val="00406D5F"/>
    <w:rsid w:val="00410CCF"/>
    <w:rsid w:val="00410FE4"/>
    <w:rsid w:val="004123E3"/>
    <w:rsid w:val="00412842"/>
    <w:rsid w:val="00412BF5"/>
    <w:rsid w:val="00413C13"/>
    <w:rsid w:val="00414A7A"/>
    <w:rsid w:val="00414D52"/>
    <w:rsid w:val="004159EC"/>
    <w:rsid w:val="00416662"/>
    <w:rsid w:val="00416A0F"/>
    <w:rsid w:val="00417242"/>
    <w:rsid w:val="0041725C"/>
    <w:rsid w:val="00421CDD"/>
    <w:rsid w:val="0042233B"/>
    <w:rsid w:val="004233F0"/>
    <w:rsid w:val="004243B3"/>
    <w:rsid w:val="00424836"/>
    <w:rsid w:val="00425F1E"/>
    <w:rsid w:val="004265C0"/>
    <w:rsid w:val="0042796E"/>
    <w:rsid w:val="00427EB9"/>
    <w:rsid w:val="00430BCE"/>
    <w:rsid w:val="0043140E"/>
    <w:rsid w:val="00432A8A"/>
    <w:rsid w:val="004332BE"/>
    <w:rsid w:val="00434F14"/>
    <w:rsid w:val="00435449"/>
    <w:rsid w:val="004359B9"/>
    <w:rsid w:val="00435FD1"/>
    <w:rsid w:val="004370F0"/>
    <w:rsid w:val="0043760C"/>
    <w:rsid w:val="004376A0"/>
    <w:rsid w:val="00441434"/>
    <w:rsid w:val="004426CE"/>
    <w:rsid w:val="00442C38"/>
    <w:rsid w:val="004433FB"/>
    <w:rsid w:val="0044343F"/>
    <w:rsid w:val="00444042"/>
    <w:rsid w:val="00444233"/>
    <w:rsid w:val="00444C68"/>
    <w:rsid w:val="00444FE6"/>
    <w:rsid w:val="00445034"/>
    <w:rsid w:val="0044541B"/>
    <w:rsid w:val="0045007F"/>
    <w:rsid w:val="004520CC"/>
    <w:rsid w:val="00454250"/>
    <w:rsid w:val="004548C8"/>
    <w:rsid w:val="00454BDF"/>
    <w:rsid w:val="00455077"/>
    <w:rsid w:val="004551C9"/>
    <w:rsid w:val="004552B4"/>
    <w:rsid w:val="00455903"/>
    <w:rsid w:val="00455C05"/>
    <w:rsid w:val="00457C05"/>
    <w:rsid w:val="004620E7"/>
    <w:rsid w:val="004621E4"/>
    <w:rsid w:val="00462F23"/>
    <w:rsid w:val="00463F53"/>
    <w:rsid w:val="00464E7C"/>
    <w:rsid w:val="004651F3"/>
    <w:rsid w:val="00465B08"/>
    <w:rsid w:val="00467287"/>
    <w:rsid w:val="004703C8"/>
    <w:rsid w:val="00470A85"/>
    <w:rsid w:val="00470B26"/>
    <w:rsid w:val="00471339"/>
    <w:rsid w:val="004716CF"/>
    <w:rsid w:val="00471C0C"/>
    <w:rsid w:val="00473B54"/>
    <w:rsid w:val="00473D36"/>
    <w:rsid w:val="0047444F"/>
    <w:rsid w:val="00474B16"/>
    <w:rsid w:val="004753D4"/>
    <w:rsid w:val="004756C0"/>
    <w:rsid w:val="00475D6C"/>
    <w:rsid w:val="00476CE4"/>
    <w:rsid w:val="00476E90"/>
    <w:rsid w:val="00477AFB"/>
    <w:rsid w:val="00481161"/>
    <w:rsid w:val="004821F9"/>
    <w:rsid w:val="00482526"/>
    <w:rsid w:val="004826F6"/>
    <w:rsid w:val="004853CD"/>
    <w:rsid w:val="0048647F"/>
    <w:rsid w:val="00486A28"/>
    <w:rsid w:val="00486A62"/>
    <w:rsid w:val="00487F2D"/>
    <w:rsid w:val="004917F2"/>
    <w:rsid w:val="00491862"/>
    <w:rsid w:val="00491A05"/>
    <w:rsid w:val="00492A2E"/>
    <w:rsid w:val="004938B3"/>
    <w:rsid w:val="004948AF"/>
    <w:rsid w:val="00495748"/>
    <w:rsid w:val="0049716A"/>
    <w:rsid w:val="00497A98"/>
    <w:rsid w:val="00497DE4"/>
    <w:rsid w:val="004A0E5F"/>
    <w:rsid w:val="004A1EC0"/>
    <w:rsid w:val="004A2EAA"/>
    <w:rsid w:val="004A35CB"/>
    <w:rsid w:val="004A4987"/>
    <w:rsid w:val="004B1747"/>
    <w:rsid w:val="004B1781"/>
    <w:rsid w:val="004B27CE"/>
    <w:rsid w:val="004B2B15"/>
    <w:rsid w:val="004B3553"/>
    <w:rsid w:val="004B35F3"/>
    <w:rsid w:val="004B4A3E"/>
    <w:rsid w:val="004B64CE"/>
    <w:rsid w:val="004B70C0"/>
    <w:rsid w:val="004B7DBA"/>
    <w:rsid w:val="004C006E"/>
    <w:rsid w:val="004C0490"/>
    <w:rsid w:val="004C06A9"/>
    <w:rsid w:val="004C1AF4"/>
    <w:rsid w:val="004C1BD9"/>
    <w:rsid w:val="004C34B4"/>
    <w:rsid w:val="004C3FFD"/>
    <w:rsid w:val="004C681E"/>
    <w:rsid w:val="004C7408"/>
    <w:rsid w:val="004C786F"/>
    <w:rsid w:val="004D014E"/>
    <w:rsid w:val="004D0C38"/>
    <w:rsid w:val="004D0F21"/>
    <w:rsid w:val="004D180C"/>
    <w:rsid w:val="004D20AB"/>
    <w:rsid w:val="004D2B85"/>
    <w:rsid w:val="004D3191"/>
    <w:rsid w:val="004D4F24"/>
    <w:rsid w:val="004D4F9C"/>
    <w:rsid w:val="004D65B4"/>
    <w:rsid w:val="004D6BA3"/>
    <w:rsid w:val="004E04B7"/>
    <w:rsid w:val="004E0AC2"/>
    <w:rsid w:val="004E1759"/>
    <w:rsid w:val="004E1E68"/>
    <w:rsid w:val="004E2D68"/>
    <w:rsid w:val="004E319E"/>
    <w:rsid w:val="004E3B80"/>
    <w:rsid w:val="004E4A56"/>
    <w:rsid w:val="004E4F49"/>
    <w:rsid w:val="004E5B48"/>
    <w:rsid w:val="004E5EBC"/>
    <w:rsid w:val="004E6625"/>
    <w:rsid w:val="004E6733"/>
    <w:rsid w:val="004E749E"/>
    <w:rsid w:val="004F1ABE"/>
    <w:rsid w:val="004F251E"/>
    <w:rsid w:val="004F2FFF"/>
    <w:rsid w:val="004F3D43"/>
    <w:rsid w:val="004F60E0"/>
    <w:rsid w:val="00500028"/>
    <w:rsid w:val="005002E0"/>
    <w:rsid w:val="00500A32"/>
    <w:rsid w:val="0050191D"/>
    <w:rsid w:val="00502CDD"/>
    <w:rsid w:val="005035C6"/>
    <w:rsid w:val="00503EF3"/>
    <w:rsid w:val="005051EC"/>
    <w:rsid w:val="00505280"/>
    <w:rsid w:val="00506FF9"/>
    <w:rsid w:val="00507463"/>
    <w:rsid w:val="0051053C"/>
    <w:rsid w:val="00511117"/>
    <w:rsid w:val="005117AF"/>
    <w:rsid w:val="005118FD"/>
    <w:rsid w:val="00511A09"/>
    <w:rsid w:val="00513E7D"/>
    <w:rsid w:val="00514ECE"/>
    <w:rsid w:val="0051525F"/>
    <w:rsid w:val="00515C6B"/>
    <w:rsid w:val="0051670E"/>
    <w:rsid w:val="00516E3B"/>
    <w:rsid w:val="00520984"/>
    <w:rsid w:val="005215D8"/>
    <w:rsid w:val="005218BC"/>
    <w:rsid w:val="0052236D"/>
    <w:rsid w:val="00522A01"/>
    <w:rsid w:val="00523CFA"/>
    <w:rsid w:val="005242DE"/>
    <w:rsid w:val="0052450A"/>
    <w:rsid w:val="00524D83"/>
    <w:rsid w:val="00525CAD"/>
    <w:rsid w:val="0052657C"/>
    <w:rsid w:val="00526760"/>
    <w:rsid w:val="005274AC"/>
    <w:rsid w:val="005279EC"/>
    <w:rsid w:val="00530078"/>
    <w:rsid w:val="005300DE"/>
    <w:rsid w:val="005302E4"/>
    <w:rsid w:val="00530B1F"/>
    <w:rsid w:val="005333FB"/>
    <w:rsid w:val="00535987"/>
    <w:rsid w:val="0053600D"/>
    <w:rsid w:val="0053699E"/>
    <w:rsid w:val="00536B45"/>
    <w:rsid w:val="00536CA7"/>
    <w:rsid w:val="00540517"/>
    <w:rsid w:val="00540596"/>
    <w:rsid w:val="00540DA3"/>
    <w:rsid w:val="00541220"/>
    <w:rsid w:val="00541321"/>
    <w:rsid w:val="00542EB7"/>
    <w:rsid w:val="00543106"/>
    <w:rsid w:val="00543ADB"/>
    <w:rsid w:val="00544F57"/>
    <w:rsid w:val="0054556E"/>
    <w:rsid w:val="00546403"/>
    <w:rsid w:val="0054655F"/>
    <w:rsid w:val="00546A61"/>
    <w:rsid w:val="00546D56"/>
    <w:rsid w:val="0054710E"/>
    <w:rsid w:val="00547C29"/>
    <w:rsid w:val="00550043"/>
    <w:rsid w:val="00550081"/>
    <w:rsid w:val="00551501"/>
    <w:rsid w:val="005516FF"/>
    <w:rsid w:val="00551BD1"/>
    <w:rsid w:val="00552840"/>
    <w:rsid w:val="005533DB"/>
    <w:rsid w:val="00553C97"/>
    <w:rsid w:val="0055455B"/>
    <w:rsid w:val="00554A45"/>
    <w:rsid w:val="00554FA4"/>
    <w:rsid w:val="00555FB8"/>
    <w:rsid w:val="00555FC0"/>
    <w:rsid w:val="0056035F"/>
    <w:rsid w:val="005604B4"/>
    <w:rsid w:val="0056212B"/>
    <w:rsid w:val="00562336"/>
    <w:rsid w:val="0056266F"/>
    <w:rsid w:val="00562E4B"/>
    <w:rsid w:val="00563582"/>
    <w:rsid w:val="005641A5"/>
    <w:rsid w:val="00564C1A"/>
    <w:rsid w:val="00564E53"/>
    <w:rsid w:val="00564E55"/>
    <w:rsid w:val="005659D4"/>
    <w:rsid w:val="00565B52"/>
    <w:rsid w:val="00566297"/>
    <w:rsid w:val="00566A29"/>
    <w:rsid w:val="005671FD"/>
    <w:rsid w:val="005704B6"/>
    <w:rsid w:val="00570C57"/>
    <w:rsid w:val="00570C79"/>
    <w:rsid w:val="0057155B"/>
    <w:rsid w:val="00572633"/>
    <w:rsid w:val="00572F54"/>
    <w:rsid w:val="00574200"/>
    <w:rsid w:val="00574419"/>
    <w:rsid w:val="005744B3"/>
    <w:rsid w:val="0057469B"/>
    <w:rsid w:val="00574BA7"/>
    <w:rsid w:val="00577624"/>
    <w:rsid w:val="00580061"/>
    <w:rsid w:val="005805DA"/>
    <w:rsid w:val="00581B3D"/>
    <w:rsid w:val="005824B1"/>
    <w:rsid w:val="00583122"/>
    <w:rsid w:val="0058486E"/>
    <w:rsid w:val="005852FB"/>
    <w:rsid w:val="00587042"/>
    <w:rsid w:val="00587399"/>
    <w:rsid w:val="0058789C"/>
    <w:rsid w:val="00587A68"/>
    <w:rsid w:val="00590C0F"/>
    <w:rsid w:val="00591585"/>
    <w:rsid w:val="00591C66"/>
    <w:rsid w:val="00591D52"/>
    <w:rsid w:val="00592442"/>
    <w:rsid w:val="0059388C"/>
    <w:rsid w:val="00594D22"/>
    <w:rsid w:val="00595119"/>
    <w:rsid w:val="005952E5"/>
    <w:rsid w:val="00595B78"/>
    <w:rsid w:val="00596A38"/>
    <w:rsid w:val="00597445"/>
    <w:rsid w:val="005A0367"/>
    <w:rsid w:val="005A0A1D"/>
    <w:rsid w:val="005A0B17"/>
    <w:rsid w:val="005A257A"/>
    <w:rsid w:val="005A2637"/>
    <w:rsid w:val="005A2CA2"/>
    <w:rsid w:val="005A37AB"/>
    <w:rsid w:val="005A38C2"/>
    <w:rsid w:val="005A3975"/>
    <w:rsid w:val="005A4E09"/>
    <w:rsid w:val="005A4FE7"/>
    <w:rsid w:val="005A5111"/>
    <w:rsid w:val="005A53E4"/>
    <w:rsid w:val="005B1311"/>
    <w:rsid w:val="005B1AEE"/>
    <w:rsid w:val="005B1F17"/>
    <w:rsid w:val="005B20EB"/>
    <w:rsid w:val="005B2279"/>
    <w:rsid w:val="005B288A"/>
    <w:rsid w:val="005B2B0F"/>
    <w:rsid w:val="005B3690"/>
    <w:rsid w:val="005B3C2D"/>
    <w:rsid w:val="005B4A24"/>
    <w:rsid w:val="005B4A65"/>
    <w:rsid w:val="005B4D3F"/>
    <w:rsid w:val="005B4E93"/>
    <w:rsid w:val="005B5812"/>
    <w:rsid w:val="005B5932"/>
    <w:rsid w:val="005B5E7A"/>
    <w:rsid w:val="005B6AD2"/>
    <w:rsid w:val="005C0013"/>
    <w:rsid w:val="005C24C0"/>
    <w:rsid w:val="005C3457"/>
    <w:rsid w:val="005C3840"/>
    <w:rsid w:val="005C4A94"/>
    <w:rsid w:val="005C5269"/>
    <w:rsid w:val="005C587B"/>
    <w:rsid w:val="005C6D07"/>
    <w:rsid w:val="005C6D94"/>
    <w:rsid w:val="005C776C"/>
    <w:rsid w:val="005D00A4"/>
    <w:rsid w:val="005D0443"/>
    <w:rsid w:val="005D09F0"/>
    <w:rsid w:val="005D0F22"/>
    <w:rsid w:val="005D129D"/>
    <w:rsid w:val="005D23CC"/>
    <w:rsid w:val="005D3D20"/>
    <w:rsid w:val="005D5109"/>
    <w:rsid w:val="005D51A2"/>
    <w:rsid w:val="005D701A"/>
    <w:rsid w:val="005D7AF4"/>
    <w:rsid w:val="005D7BFB"/>
    <w:rsid w:val="005D7C81"/>
    <w:rsid w:val="005E10C5"/>
    <w:rsid w:val="005E1AA8"/>
    <w:rsid w:val="005E1F6E"/>
    <w:rsid w:val="005E3B56"/>
    <w:rsid w:val="005E3F2A"/>
    <w:rsid w:val="005E42BC"/>
    <w:rsid w:val="005E463E"/>
    <w:rsid w:val="005E74BC"/>
    <w:rsid w:val="005E78ED"/>
    <w:rsid w:val="005F337E"/>
    <w:rsid w:val="005F3D68"/>
    <w:rsid w:val="005F44F5"/>
    <w:rsid w:val="005F4CDD"/>
    <w:rsid w:val="005F6563"/>
    <w:rsid w:val="005F65B7"/>
    <w:rsid w:val="005F6B19"/>
    <w:rsid w:val="005F7ED8"/>
    <w:rsid w:val="006021CC"/>
    <w:rsid w:val="00602D59"/>
    <w:rsid w:val="00603043"/>
    <w:rsid w:val="006031A1"/>
    <w:rsid w:val="00604EF2"/>
    <w:rsid w:val="0060598A"/>
    <w:rsid w:val="0060676C"/>
    <w:rsid w:val="006075BA"/>
    <w:rsid w:val="00607827"/>
    <w:rsid w:val="006079BE"/>
    <w:rsid w:val="00610294"/>
    <w:rsid w:val="006105C8"/>
    <w:rsid w:val="006112E4"/>
    <w:rsid w:val="00613839"/>
    <w:rsid w:val="00614690"/>
    <w:rsid w:val="00614ED9"/>
    <w:rsid w:val="00617466"/>
    <w:rsid w:val="00617FF9"/>
    <w:rsid w:val="0062063A"/>
    <w:rsid w:val="0062071A"/>
    <w:rsid w:val="006211BD"/>
    <w:rsid w:val="00621658"/>
    <w:rsid w:val="0062282B"/>
    <w:rsid w:val="0062375A"/>
    <w:rsid w:val="00624A48"/>
    <w:rsid w:val="00624AD9"/>
    <w:rsid w:val="00624E5D"/>
    <w:rsid w:val="00625AAD"/>
    <w:rsid w:val="0063102D"/>
    <w:rsid w:val="006318CE"/>
    <w:rsid w:val="00632180"/>
    <w:rsid w:val="006329F2"/>
    <w:rsid w:val="006336A3"/>
    <w:rsid w:val="0063679A"/>
    <w:rsid w:val="00636D08"/>
    <w:rsid w:val="006374AD"/>
    <w:rsid w:val="00640119"/>
    <w:rsid w:val="00641371"/>
    <w:rsid w:val="006415DD"/>
    <w:rsid w:val="006419A3"/>
    <w:rsid w:val="00646402"/>
    <w:rsid w:val="0064656D"/>
    <w:rsid w:val="00647562"/>
    <w:rsid w:val="00647ABE"/>
    <w:rsid w:val="00650258"/>
    <w:rsid w:val="00651B06"/>
    <w:rsid w:val="00652055"/>
    <w:rsid w:val="00652219"/>
    <w:rsid w:val="00652426"/>
    <w:rsid w:val="00653070"/>
    <w:rsid w:val="0065383F"/>
    <w:rsid w:val="006543F3"/>
    <w:rsid w:val="006544AE"/>
    <w:rsid w:val="0065468A"/>
    <w:rsid w:val="00654A8D"/>
    <w:rsid w:val="00654E91"/>
    <w:rsid w:val="00655376"/>
    <w:rsid w:val="006554FA"/>
    <w:rsid w:val="006559A8"/>
    <w:rsid w:val="00656BCD"/>
    <w:rsid w:val="00657836"/>
    <w:rsid w:val="00657C71"/>
    <w:rsid w:val="00660655"/>
    <w:rsid w:val="00661342"/>
    <w:rsid w:val="00662312"/>
    <w:rsid w:val="00662AEA"/>
    <w:rsid w:val="00662F76"/>
    <w:rsid w:val="00663F07"/>
    <w:rsid w:val="0066418D"/>
    <w:rsid w:val="006648FF"/>
    <w:rsid w:val="00664C94"/>
    <w:rsid w:val="00664DF2"/>
    <w:rsid w:val="00665018"/>
    <w:rsid w:val="0066573B"/>
    <w:rsid w:val="00666C3D"/>
    <w:rsid w:val="006671B2"/>
    <w:rsid w:val="006673D3"/>
    <w:rsid w:val="00667562"/>
    <w:rsid w:val="00667B84"/>
    <w:rsid w:val="00667C8A"/>
    <w:rsid w:val="006701ED"/>
    <w:rsid w:val="00671051"/>
    <w:rsid w:val="00671681"/>
    <w:rsid w:val="00672D15"/>
    <w:rsid w:val="00673AE5"/>
    <w:rsid w:val="0067435A"/>
    <w:rsid w:val="00674AD5"/>
    <w:rsid w:val="00674CC3"/>
    <w:rsid w:val="00674EB6"/>
    <w:rsid w:val="006766CA"/>
    <w:rsid w:val="00676AB4"/>
    <w:rsid w:val="00677132"/>
    <w:rsid w:val="006776D1"/>
    <w:rsid w:val="00681028"/>
    <w:rsid w:val="006813B8"/>
    <w:rsid w:val="00681DCA"/>
    <w:rsid w:val="00681E09"/>
    <w:rsid w:val="006820C6"/>
    <w:rsid w:val="00682C7D"/>
    <w:rsid w:val="0068400E"/>
    <w:rsid w:val="0068632E"/>
    <w:rsid w:val="00686C82"/>
    <w:rsid w:val="00691133"/>
    <w:rsid w:val="0069160D"/>
    <w:rsid w:val="00692529"/>
    <w:rsid w:val="0069559B"/>
    <w:rsid w:val="00695904"/>
    <w:rsid w:val="00696353"/>
    <w:rsid w:val="00696612"/>
    <w:rsid w:val="006972F4"/>
    <w:rsid w:val="00697594"/>
    <w:rsid w:val="0069777C"/>
    <w:rsid w:val="006A17DD"/>
    <w:rsid w:val="006A1F12"/>
    <w:rsid w:val="006A2E2C"/>
    <w:rsid w:val="006A389F"/>
    <w:rsid w:val="006A39A9"/>
    <w:rsid w:val="006A419C"/>
    <w:rsid w:val="006A4229"/>
    <w:rsid w:val="006A511B"/>
    <w:rsid w:val="006A5370"/>
    <w:rsid w:val="006A5F27"/>
    <w:rsid w:val="006A5F92"/>
    <w:rsid w:val="006A6216"/>
    <w:rsid w:val="006A70DA"/>
    <w:rsid w:val="006B0361"/>
    <w:rsid w:val="006B1019"/>
    <w:rsid w:val="006B1428"/>
    <w:rsid w:val="006B163B"/>
    <w:rsid w:val="006B19DF"/>
    <w:rsid w:val="006B1F2E"/>
    <w:rsid w:val="006B26EA"/>
    <w:rsid w:val="006B2ECA"/>
    <w:rsid w:val="006B3F21"/>
    <w:rsid w:val="006B57A4"/>
    <w:rsid w:val="006B62D4"/>
    <w:rsid w:val="006B63E3"/>
    <w:rsid w:val="006B6432"/>
    <w:rsid w:val="006B779E"/>
    <w:rsid w:val="006B7DD1"/>
    <w:rsid w:val="006C0C1D"/>
    <w:rsid w:val="006C14EB"/>
    <w:rsid w:val="006C1C03"/>
    <w:rsid w:val="006C1FCD"/>
    <w:rsid w:val="006C2287"/>
    <w:rsid w:val="006C3199"/>
    <w:rsid w:val="006C373E"/>
    <w:rsid w:val="006C3FE7"/>
    <w:rsid w:val="006C40A7"/>
    <w:rsid w:val="006C42DE"/>
    <w:rsid w:val="006C46F8"/>
    <w:rsid w:val="006C55A8"/>
    <w:rsid w:val="006C5673"/>
    <w:rsid w:val="006C5A87"/>
    <w:rsid w:val="006C7BB8"/>
    <w:rsid w:val="006D06FD"/>
    <w:rsid w:val="006D07E1"/>
    <w:rsid w:val="006D2159"/>
    <w:rsid w:val="006D2457"/>
    <w:rsid w:val="006D3F9C"/>
    <w:rsid w:val="006D400F"/>
    <w:rsid w:val="006D4043"/>
    <w:rsid w:val="006D4077"/>
    <w:rsid w:val="006D4CB2"/>
    <w:rsid w:val="006D573F"/>
    <w:rsid w:val="006D6F5A"/>
    <w:rsid w:val="006D711C"/>
    <w:rsid w:val="006D79A8"/>
    <w:rsid w:val="006D7FDD"/>
    <w:rsid w:val="006E09D6"/>
    <w:rsid w:val="006E20AA"/>
    <w:rsid w:val="006E310C"/>
    <w:rsid w:val="006E4114"/>
    <w:rsid w:val="006E4A26"/>
    <w:rsid w:val="006E59AF"/>
    <w:rsid w:val="006E611A"/>
    <w:rsid w:val="006E6B4F"/>
    <w:rsid w:val="006E6E31"/>
    <w:rsid w:val="006E7206"/>
    <w:rsid w:val="006E78D7"/>
    <w:rsid w:val="006E7C5A"/>
    <w:rsid w:val="006F017D"/>
    <w:rsid w:val="006F0B17"/>
    <w:rsid w:val="006F1B1B"/>
    <w:rsid w:val="006F2D3C"/>
    <w:rsid w:val="006F31AE"/>
    <w:rsid w:val="006F35DC"/>
    <w:rsid w:val="006F3EBA"/>
    <w:rsid w:val="006F4D66"/>
    <w:rsid w:val="006F623B"/>
    <w:rsid w:val="006F6AE5"/>
    <w:rsid w:val="006F74DA"/>
    <w:rsid w:val="007002C8"/>
    <w:rsid w:val="007004A5"/>
    <w:rsid w:val="007009B5"/>
    <w:rsid w:val="007019F2"/>
    <w:rsid w:val="0070276F"/>
    <w:rsid w:val="007029E8"/>
    <w:rsid w:val="007033FB"/>
    <w:rsid w:val="00703520"/>
    <w:rsid w:val="00703B99"/>
    <w:rsid w:val="0070401C"/>
    <w:rsid w:val="007063E0"/>
    <w:rsid w:val="00706474"/>
    <w:rsid w:val="007072A3"/>
    <w:rsid w:val="007077A0"/>
    <w:rsid w:val="00710EC8"/>
    <w:rsid w:val="00712CBC"/>
    <w:rsid w:val="00713000"/>
    <w:rsid w:val="0071315A"/>
    <w:rsid w:val="007136D3"/>
    <w:rsid w:val="00721623"/>
    <w:rsid w:val="00721B50"/>
    <w:rsid w:val="00722FDD"/>
    <w:rsid w:val="00723159"/>
    <w:rsid w:val="0072347A"/>
    <w:rsid w:val="00723522"/>
    <w:rsid w:val="007244A8"/>
    <w:rsid w:val="0072486F"/>
    <w:rsid w:val="00724AC2"/>
    <w:rsid w:val="0072585F"/>
    <w:rsid w:val="00725FF9"/>
    <w:rsid w:val="00726DC7"/>
    <w:rsid w:val="00727B15"/>
    <w:rsid w:val="00731E98"/>
    <w:rsid w:val="0073285E"/>
    <w:rsid w:val="00733A01"/>
    <w:rsid w:val="007340B4"/>
    <w:rsid w:val="00734456"/>
    <w:rsid w:val="00734B27"/>
    <w:rsid w:val="00735392"/>
    <w:rsid w:val="007358D8"/>
    <w:rsid w:val="00735F84"/>
    <w:rsid w:val="00736333"/>
    <w:rsid w:val="007363B5"/>
    <w:rsid w:val="00736922"/>
    <w:rsid w:val="00737CCD"/>
    <w:rsid w:val="00741457"/>
    <w:rsid w:val="0074167B"/>
    <w:rsid w:val="00741E6F"/>
    <w:rsid w:val="0074285C"/>
    <w:rsid w:val="00743A21"/>
    <w:rsid w:val="00743FD4"/>
    <w:rsid w:val="00744FB8"/>
    <w:rsid w:val="007463BE"/>
    <w:rsid w:val="007471DD"/>
    <w:rsid w:val="007507DD"/>
    <w:rsid w:val="00750A6A"/>
    <w:rsid w:val="0075145E"/>
    <w:rsid w:val="007517A2"/>
    <w:rsid w:val="00751BC2"/>
    <w:rsid w:val="00753235"/>
    <w:rsid w:val="00754416"/>
    <w:rsid w:val="0075604F"/>
    <w:rsid w:val="007571B4"/>
    <w:rsid w:val="00760484"/>
    <w:rsid w:val="00760684"/>
    <w:rsid w:val="00761A94"/>
    <w:rsid w:val="00761D6B"/>
    <w:rsid w:val="00763729"/>
    <w:rsid w:val="00764073"/>
    <w:rsid w:val="0076420C"/>
    <w:rsid w:val="00765129"/>
    <w:rsid w:val="00765190"/>
    <w:rsid w:val="007674BF"/>
    <w:rsid w:val="0077008A"/>
    <w:rsid w:val="007700C8"/>
    <w:rsid w:val="00770494"/>
    <w:rsid w:val="007707FD"/>
    <w:rsid w:val="00771684"/>
    <w:rsid w:val="007719A6"/>
    <w:rsid w:val="00773164"/>
    <w:rsid w:val="00773379"/>
    <w:rsid w:val="00773AE2"/>
    <w:rsid w:val="00773C0A"/>
    <w:rsid w:val="0077499A"/>
    <w:rsid w:val="00776D51"/>
    <w:rsid w:val="007776B2"/>
    <w:rsid w:val="007777C8"/>
    <w:rsid w:val="00777960"/>
    <w:rsid w:val="00777DCC"/>
    <w:rsid w:val="0078037A"/>
    <w:rsid w:val="00780460"/>
    <w:rsid w:val="00780AB9"/>
    <w:rsid w:val="007817C9"/>
    <w:rsid w:val="007828A0"/>
    <w:rsid w:val="00782D51"/>
    <w:rsid w:val="00783083"/>
    <w:rsid w:val="007836D6"/>
    <w:rsid w:val="00783B1E"/>
    <w:rsid w:val="007847ED"/>
    <w:rsid w:val="00784C7B"/>
    <w:rsid w:val="00785E9D"/>
    <w:rsid w:val="007866DA"/>
    <w:rsid w:val="007878C0"/>
    <w:rsid w:val="00787F30"/>
    <w:rsid w:val="00790B7A"/>
    <w:rsid w:val="00790BFE"/>
    <w:rsid w:val="007916DD"/>
    <w:rsid w:val="00791AA0"/>
    <w:rsid w:val="00792654"/>
    <w:rsid w:val="007929EA"/>
    <w:rsid w:val="00792B97"/>
    <w:rsid w:val="00794F16"/>
    <w:rsid w:val="007960C7"/>
    <w:rsid w:val="00796DE8"/>
    <w:rsid w:val="007A04B4"/>
    <w:rsid w:val="007A0891"/>
    <w:rsid w:val="007A16D2"/>
    <w:rsid w:val="007A1D11"/>
    <w:rsid w:val="007A1D30"/>
    <w:rsid w:val="007A2153"/>
    <w:rsid w:val="007A27D5"/>
    <w:rsid w:val="007A4CCF"/>
    <w:rsid w:val="007A4F56"/>
    <w:rsid w:val="007A6E2C"/>
    <w:rsid w:val="007B003D"/>
    <w:rsid w:val="007B0066"/>
    <w:rsid w:val="007B2172"/>
    <w:rsid w:val="007B2D86"/>
    <w:rsid w:val="007B3EDB"/>
    <w:rsid w:val="007B5705"/>
    <w:rsid w:val="007B5752"/>
    <w:rsid w:val="007B59E9"/>
    <w:rsid w:val="007B5F22"/>
    <w:rsid w:val="007B7E44"/>
    <w:rsid w:val="007C0130"/>
    <w:rsid w:val="007C0263"/>
    <w:rsid w:val="007C03C9"/>
    <w:rsid w:val="007C0BEE"/>
    <w:rsid w:val="007C0D91"/>
    <w:rsid w:val="007C27E2"/>
    <w:rsid w:val="007C4475"/>
    <w:rsid w:val="007C49FE"/>
    <w:rsid w:val="007C733B"/>
    <w:rsid w:val="007C76DB"/>
    <w:rsid w:val="007D1848"/>
    <w:rsid w:val="007D1D8F"/>
    <w:rsid w:val="007D3259"/>
    <w:rsid w:val="007D329E"/>
    <w:rsid w:val="007D4E0A"/>
    <w:rsid w:val="007D5B20"/>
    <w:rsid w:val="007D6F62"/>
    <w:rsid w:val="007E049F"/>
    <w:rsid w:val="007E1D8B"/>
    <w:rsid w:val="007E2565"/>
    <w:rsid w:val="007E2EA6"/>
    <w:rsid w:val="007E35A5"/>
    <w:rsid w:val="007E394D"/>
    <w:rsid w:val="007E3FB2"/>
    <w:rsid w:val="007E46C2"/>
    <w:rsid w:val="007E4FF0"/>
    <w:rsid w:val="007E515E"/>
    <w:rsid w:val="007E5890"/>
    <w:rsid w:val="007E5BA9"/>
    <w:rsid w:val="007E5BB2"/>
    <w:rsid w:val="007E5F73"/>
    <w:rsid w:val="007E7596"/>
    <w:rsid w:val="007E7E1E"/>
    <w:rsid w:val="007E7F22"/>
    <w:rsid w:val="007F0324"/>
    <w:rsid w:val="007F10CA"/>
    <w:rsid w:val="007F1DC4"/>
    <w:rsid w:val="007F1E94"/>
    <w:rsid w:val="007F20CB"/>
    <w:rsid w:val="007F3895"/>
    <w:rsid w:val="007F3E32"/>
    <w:rsid w:val="007F483D"/>
    <w:rsid w:val="007F4E75"/>
    <w:rsid w:val="007F4F56"/>
    <w:rsid w:val="007F50ED"/>
    <w:rsid w:val="007F609F"/>
    <w:rsid w:val="007F642B"/>
    <w:rsid w:val="007F6BE1"/>
    <w:rsid w:val="007F79FE"/>
    <w:rsid w:val="007F7F43"/>
    <w:rsid w:val="00800B87"/>
    <w:rsid w:val="00802A91"/>
    <w:rsid w:val="00802AF4"/>
    <w:rsid w:val="008030DE"/>
    <w:rsid w:val="00803671"/>
    <w:rsid w:val="00803F96"/>
    <w:rsid w:val="00804055"/>
    <w:rsid w:val="00804220"/>
    <w:rsid w:val="00804853"/>
    <w:rsid w:val="00805173"/>
    <w:rsid w:val="00805C18"/>
    <w:rsid w:val="008062B6"/>
    <w:rsid w:val="0080635F"/>
    <w:rsid w:val="00806ADA"/>
    <w:rsid w:val="008071FA"/>
    <w:rsid w:val="008072AD"/>
    <w:rsid w:val="00807F57"/>
    <w:rsid w:val="00810D53"/>
    <w:rsid w:val="00811E93"/>
    <w:rsid w:val="008125C7"/>
    <w:rsid w:val="008140D6"/>
    <w:rsid w:val="00814479"/>
    <w:rsid w:val="00814955"/>
    <w:rsid w:val="00815D50"/>
    <w:rsid w:val="008161E2"/>
    <w:rsid w:val="00816856"/>
    <w:rsid w:val="008172FC"/>
    <w:rsid w:val="00817E2E"/>
    <w:rsid w:val="008200CE"/>
    <w:rsid w:val="00820246"/>
    <w:rsid w:val="00820DF7"/>
    <w:rsid w:val="0082159C"/>
    <w:rsid w:val="008218EB"/>
    <w:rsid w:val="00821A1A"/>
    <w:rsid w:val="00821C87"/>
    <w:rsid w:val="00822B4C"/>
    <w:rsid w:val="00823481"/>
    <w:rsid w:val="00824953"/>
    <w:rsid w:val="00824A7F"/>
    <w:rsid w:val="008252A5"/>
    <w:rsid w:val="008266F4"/>
    <w:rsid w:val="00826F16"/>
    <w:rsid w:val="00827733"/>
    <w:rsid w:val="00827C3B"/>
    <w:rsid w:val="00830111"/>
    <w:rsid w:val="00833207"/>
    <w:rsid w:val="00834B11"/>
    <w:rsid w:val="00835C8B"/>
    <w:rsid w:val="00836F76"/>
    <w:rsid w:val="00837040"/>
    <w:rsid w:val="00837696"/>
    <w:rsid w:val="00837807"/>
    <w:rsid w:val="008402C4"/>
    <w:rsid w:val="00840AE3"/>
    <w:rsid w:val="008415E2"/>
    <w:rsid w:val="00841664"/>
    <w:rsid w:val="0084208C"/>
    <w:rsid w:val="00845B1D"/>
    <w:rsid w:val="00847699"/>
    <w:rsid w:val="00847C88"/>
    <w:rsid w:val="0085079E"/>
    <w:rsid w:val="00850D3E"/>
    <w:rsid w:val="00852440"/>
    <w:rsid w:val="00852500"/>
    <w:rsid w:val="0085298E"/>
    <w:rsid w:val="008534D2"/>
    <w:rsid w:val="00853A64"/>
    <w:rsid w:val="0085560D"/>
    <w:rsid w:val="00855772"/>
    <w:rsid w:val="008566EC"/>
    <w:rsid w:val="008607AE"/>
    <w:rsid w:val="00860E75"/>
    <w:rsid w:val="00862072"/>
    <w:rsid w:val="00862C98"/>
    <w:rsid w:val="00862E33"/>
    <w:rsid w:val="008631E6"/>
    <w:rsid w:val="00863F77"/>
    <w:rsid w:val="008666AF"/>
    <w:rsid w:val="00866BF6"/>
    <w:rsid w:val="00866E43"/>
    <w:rsid w:val="00867067"/>
    <w:rsid w:val="00867B48"/>
    <w:rsid w:val="00867DA9"/>
    <w:rsid w:val="0087083B"/>
    <w:rsid w:val="00871ADC"/>
    <w:rsid w:val="00872D80"/>
    <w:rsid w:val="00872E10"/>
    <w:rsid w:val="008730CA"/>
    <w:rsid w:val="0087433E"/>
    <w:rsid w:val="00874790"/>
    <w:rsid w:val="008750FA"/>
    <w:rsid w:val="00875A15"/>
    <w:rsid w:val="0088072C"/>
    <w:rsid w:val="0088246A"/>
    <w:rsid w:val="0088274A"/>
    <w:rsid w:val="00882921"/>
    <w:rsid w:val="00882FC8"/>
    <w:rsid w:val="00883FCE"/>
    <w:rsid w:val="008851FE"/>
    <w:rsid w:val="0088536A"/>
    <w:rsid w:val="00885EE0"/>
    <w:rsid w:val="00885F71"/>
    <w:rsid w:val="008860B1"/>
    <w:rsid w:val="008867DA"/>
    <w:rsid w:val="00887A39"/>
    <w:rsid w:val="00887C1E"/>
    <w:rsid w:val="008907CE"/>
    <w:rsid w:val="00890B2F"/>
    <w:rsid w:val="008924B0"/>
    <w:rsid w:val="00893411"/>
    <w:rsid w:val="00893580"/>
    <w:rsid w:val="008943B9"/>
    <w:rsid w:val="00895575"/>
    <w:rsid w:val="00895BEF"/>
    <w:rsid w:val="00897D60"/>
    <w:rsid w:val="008A04F2"/>
    <w:rsid w:val="008A0FA5"/>
    <w:rsid w:val="008A12A0"/>
    <w:rsid w:val="008A2259"/>
    <w:rsid w:val="008A3CD0"/>
    <w:rsid w:val="008A3EC0"/>
    <w:rsid w:val="008A44E1"/>
    <w:rsid w:val="008A6711"/>
    <w:rsid w:val="008A688E"/>
    <w:rsid w:val="008A7226"/>
    <w:rsid w:val="008A7489"/>
    <w:rsid w:val="008A758A"/>
    <w:rsid w:val="008A79B0"/>
    <w:rsid w:val="008B08E9"/>
    <w:rsid w:val="008B0C41"/>
    <w:rsid w:val="008B11D6"/>
    <w:rsid w:val="008B1DEE"/>
    <w:rsid w:val="008B4565"/>
    <w:rsid w:val="008B49C0"/>
    <w:rsid w:val="008B4F7A"/>
    <w:rsid w:val="008B4FBC"/>
    <w:rsid w:val="008B4FC8"/>
    <w:rsid w:val="008B5BBB"/>
    <w:rsid w:val="008B650D"/>
    <w:rsid w:val="008B6EF0"/>
    <w:rsid w:val="008B7020"/>
    <w:rsid w:val="008B76CF"/>
    <w:rsid w:val="008B7A72"/>
    <w:rsid w:val="008C0918"/>
    <w:rsid w:val="008C18A1"/>
    <w:rsid w:val="008C28B4"/>
    <w:rsid w:val="008C41D7"/>
    <w:rsid w:val="008C6377"/>
    <w:rsid w:val="008C6D20"/>
    <w:rsid w:val="008C7DC9"/>
    <w:rsid w:val="008D1425"/>
    <w:rsid w:val="008D22AC"/>
    <w:rsid w:val="008D2630"/>
    <w:rsid w:val="008D27F7"/>
    <w:rsid w:val="008D2D4E"/>
    <w:rsid w:val="008D4080"/>
    <w:rsid w:val="008D419F"/>
    <w:rsid w:val="008D4F41"/>
    <w:rsid w:val="008D5B9F"/>
    <w:rsid w:val="008D61CA"/>
    <w:rsid w:val="008D63A2"/>
    <w:rsid w:val="008D644C"/>
    <w:rsid w:val="008D6A7D"/>
    <w:rsid w:val="008E292F"/>
    <w:rsid w:val="008E32E9"/>
    <w:rsid w:val="008E35F3"/>
    <w:rsid w:val="008E3AB4"/>
    <w:rsid w:val="008E40F8"/>
    <w:rsid w:val="008E5AAC"/>
    <w:rsid w:val="008E5AF7"/>
    <w:rsid w:val="008E5B82"/>
    <w:rsid w:val="008E5F33"/>
    <w:rsid w:val="008E7585"/>
    <w:rsid w:val="008F0E2A"/>
    <w:rsid w:val="008F1D9E"/>
    <w:rsid w:val="008F40CF"/>
    <w:rsid w:val="008F4337"/>
    <w:rsid w:val="008F4BA6"/>
    <w:rsid w:val="008F7130"/>
    <w:rsid w:val="008F7547"/>
    <w:rsid w:val="008F7B44"/>
    <w:rsid w:val="008F7F1D"/>
    <w:rsid w:val="00900352"/>
    <w:rsid w:val="009015F0"/>
    <w:rsid w:val="009017B0"/>
    <w:rsid w:val="00902658"/>
    <w:rsid w:val="0090346A"/>
    <w:rsid w:val="00903C7C"/>
    <w:rsid w:val="00904C1D"/>
    <w:rsid w:val="009062E7"/>
    <w:rsid w:val="00911362"/>
    <w:rsid w:val="00911ADE"/>
    <w:rsid w:val="00912453"/>
    <w:rsid w:val="00912B4A"/>
    <w:rsid w:val="00913D1B"/>
    <w:rsid w:val="00914B63"/>
    <w:rsid w:val="00915372"/>
    <w:rsid w:val="00915656"/>
    <w:rsid w:val="009158F7"/>
    <w:rsid w:val="00915B76"/>
    <w:rsid w:val="00917838"/>
    <w:rsid w:val="00917E4F"/>
    <w:rsid w:val="009206B0"/>
    <w:rsid w:val="0092189C"/>
    <w:rsid w:val="009238D9"/>
    <w:rsid w:val="00923E5C"/>
    <w:rsid w:val="00924641"/>
    <w:rsid w:val="009252A6"/>
    <w:rsid w:val="009303A2"/>
    <w:rsid w:val="00930640"/>
    <w:rsid w:val="00930748"/>
    <w:rsid w:val="009310F8"/>
    <w:rsid w:val="00931CB3"/>
    <w:rsid w:val="00931ED7"/>
    <w:rsid w:val="0093212F"/>
    <w:rsid w:val="009336B1"/>
    <w:rsid w:val="0093380A"/>
    <w:rsid w:val="00934BBE"/>
    <w:rsid w:val="009350DE"/>
    <w:rsid w:val="00935CE4"/>
    <w:rsid w:val="00941789"/>
    <w:rsid w:val="009422D4"/>
    <w:rsid w:val="00942451"/>
    <w:rsid w:val="00942F92"/>
    <w:rsid w:val="009431CF"/>
    <w:rsid w:val="0094330E"/>
    <w:rsid w:val="00943D97"/>
    <w:rsid w:val="00944CF2"/>
    <w:rsid w:val="0094613E"/>
    <w:rsid w:val="00946DB3"/>
    <w:rsid w:val="00947A09"/>
    <w:rsid w:val="0095010E"/>
    <w:rsid w:val="009509F6"/>
    <w:rsid w:val="009509F9"/>
    <w:rsid w:val="00950B7E"/>
    <w:rsid w:val="00951E5D"/>
    <w:rsid w:val="00953143"/>
    <w:rsid w:val="00953ECA"/>
    <w:rsid w:val="00954B57"/>
    <w:rsid w:val="00960489"/>
    <w:rsid w:val="00960683"/>
    <w:rsid w:val="0096119B"/>
    <w:rsid w:val="009619DF"/>
    <w:rsid w:val="00963524"/>
    <w:rsid w:val="00964E84"/>
    <w:rsid w:val="009669BD"/>
    <w:rsid w:val="0096793D"/>
    <w:rsid w:val="00967AE1"/>
    <w:rsid w:val="00971BD0"/>
    <w:rsid w:val="00972164"/>
    <w:rsid w:val="00972226"/>
    <w:rsid w:val="00973B15"/>
    <w:rsid w:val="0097459E"/>
    <w:rsid w:val="0097510D"/>
    <w:rsid w:val="009769D5"/>
    <w:rsid w:val="009769F2"/>
    <w:rsid w:val="00976B7C"/>
    <w:rsid w:val="00977183"/>
    <w:rsid w:val="00977565"/>
    <w:rsid w:val="00980DA4"/>
    <w:rsid w:val="00983533"/>
    <w:rsid w:val="00984A86"/>
    <w:rsid w:val="00985909"/>
    <w:rsid w:val="00986EF1"/>
    <w:rsid w:val="00991960"/>
    <w:rsid w:val="00991CF5"/>
    <w:rsid w:val="00992F7C"/>
    <w:rsid w:val="00993946"/>
    <w:rsid w:val="009942A1"/>
    <w:rsid w:val="00996B6F"/>
    <w:rsid w:val="00997D0D"/>
    <w:rsid w:val="00997D4C"/>
    <w:rsid w:val="00997D68"/>
    <w:rsid w:val="009A0ADC"/>
    <w:rsid w:val="009A2B20"/>
    <w:rsid w:val="009A2FF4"/>
    <w:rsid w:val="009A3937"/>
    <w:rsid w:val="009A4AF6"/>
    <w:rsid w:val="009A50D6"/>
    <w:rsid w:val="009A53B1"/>
    <w:rsid w:val="009A56DE"/>
    <w:rsid w:val="009A60BE"/>
    <w:rsid w:val="009A63D5"/>
    <w:rsid w:val="009B02B6"/>
    <w:rsid w:val="009B094E"/>
    <w:rsid w:val="009B17E3"/>
    <w:rsid w:val="009B1A82"/>
    <w:rsid w:val="009B1CC0"/>
    <w:rsid w:val="009B255C"/>
    <w:rsid w:val="009B257A"/>
    <w:rsid w:val="009B373F"/>
    <w:rsid w:val="009B3FFE"/>
    <w:rsid w:val="009B48BA"/>
    <w:rsid w:val="009B4CB1"/>
    <w:rsid w:val="009B50C9"/>
    <w:rsid w:val="009B523E"/>
    <w:rsid w:val="009B6479"/>
    <w:rsid w:val="009B6DC3"/>
    <w:rsid w:val="009B7896"/>
    <w:rsid w:val="009C038C"/>
    <w:rsid w:val="009C06EE"/>
    <w:rsid w:val="009C1B6F"/>
    <w:rsid w:val="009C2E73"/>
    <w:rsid w:val="009C2FD5"/>
    <w:rsid w:val="009C32E0"/>
    <w:rsid w:val="009C3980"/>
    <w:rsid w:val="009C3FF0"/>
    <w:rsid w:val="009C4A81"/>
    <w:rsid w:val="009C63DC"/>
    <w:rsid w:val="009C67A6"/>
    <w:rsid w:val="009C67C2"/>
    <w:rsid w:val="009C7C50"/>
    <w:rsid w:val="009D178A"/>
    <w:rsid w:val="009D2D92"/>
    <w:rsid w:val="009D2F5C"/>
    <w:rsid w:val="009D3E9D"/>
    <w:rsid w:val="009D4466"/>
    <w:rsid w:val="009D56E1"/>
    <w:rsid w:val="009D57DB"/>
    <w:rsid w:val="009D6F99"/>
    <w:rsid w:val="009D736C"/>
    <w:rsid w:val="009D7FCF"/>
    <w:rsid w:val="009E0084"/>
    <w:rsid w:val="009E17C8"/>
    <w:rsid w:val="009E2E37"/>
    <w:rsid w:val="009E2FB8"/>
    <w:rsid w:val="009E3CCC"/>
    <w:rsid w:val="009E429A"/>
    <w:rsid w:val="009E4488"/>
    <w:rsid w:val="009E49BE"/>
    <w:rsid w:val="009E4D46"/>
    <w:rsid w:val="009E5699"/>
    <w:rsid w:val="009E5AFD"/>
    <w:rsid w:val="009E617E"/>
    <w:rsid w:val="009E62C2"/>
    <w:rsid w:val="009E66A8"/>
    <w:rsid w:val="009E692E"/>
    <w:rsid w:val="009E7981"/>
    <w:rsid w:val="009F01E6"/>
    <w:rsid w:val="009F0242"/>
    <w:rsid w:val="009F0281"/>
    <w:rsid w:val="009F0F22"/>
    <w:rsid w:val="009F225A"/>
    <w:rsid w:val="009F31A3"/>
    <w:rsid w:val="009F3AB3"/>
    <w:rsid w:val="009F42D5"/>
    <w:rsid w:val="009F48EA"/>
    <w:rsid w:val="009F526E"/>
    <w:rsid w:val="009F574E"/>
    <w:rsid w:val="009F6DD1"/>
    <w:rsid w:val="00A0012F"/>
    <w:rsid w:val="00A0016B"/>
    <w:rsid w:val="00A0039E"/>
    <w:rsid w:val="00A003E3"/>
    <w:rsid w:val="00A004CA"/>
    <w:rsid w:val="00A01117"/>
    <w:rsid w:val="00A01370"/>
    <w:rsid w:val="00A01B45"/>
    <w:rsid w:val="00A02582"/>
    <w:rsid w:val="00A035F4"/>
    <w:rsid w:val="00A0384F"/>
    <w:rsid w:val="00A03A80"/>
    <w:rsid w:val="00A04315"/>
    <w:rsid w:val="00A0434D"/>
    <w:rsid w:val="00A057FD"/>
    <w:rsid w:val="00A0597B"/>
    <w:rsid w:val="00A10230"/>
    <w:rsid w:val="00A110BC"/>
    <w:rsid w:val="00A11FFD"/>
    <w:rsid w:val="00A13434"/>
    <w:rsid w:val="00A141A2"/>
    <w:rsid w:val="00A157BC"/>
    <w:rsid w:val="00A15E98"/>
    <w:rsid w:val="00A15FE8"/>
    <w:rsid w:val="00A16D20"/>
    <w:rsid w:val="00A16F00"/>
    <w:rsid w:val="00A17BAB"/>
    <w:rsid w:val="00A20358"/>
    <w:rsid w:val="00A205D3"/>
    <w:rsid w:val="00A216DD"/>
    <w:rsid w:val="00A22610"/>
    <w:rsid w:val="00A22805"/>
    <w:rsid w:val="00A22FA8"/>
    <w:rsid w:val="00A23275"/>
    <w:rsid w:val="00A25845"/>
    <w:rsid w:val="00A25FF8"/>
    <w:rsid w:val="00A26ED6"/>
    <w:rsid w:val="00A27E14"/>
    <w:rsid w:val="00A27EA0"/>
    <w:rsid w:val="00A30248"/>
    <w:rsid w:val="00A30ADD"/>
    <w:rsid w:val="00A30C83"/>
    <w:rsid w:val="00A314F7"/>
    <w:rsid w:val="00A3214E"/>
    <w:rsid w:val="00A321C5"/>
    <w:rsid w:val="00A3286C"/>
    <w:rsid w:val="00A33514"/>
    <w:rsid w:val="00A34F1D"/>
    <w:rsid w:val="00A35465"/>
    <w:rsid w:val="00A35545"/>
    <w:rsid w:val="00A35613"/>
    <w:rsid w:val="00A35C11"/>
    <w:rsid w:val="00A36BA7"/>
    <w:rsid w:val="00A373CE"/>
    <w:rsid w:val="00A40062"/>
    <w:rsid w:val="00A40CF1"/>
    <w:rsid w:val="00A419F4"/>
    <w:rsid w:val="00A419FF"/>
    <w:rsid w:val="00A424EE"/>
    <w:rsid w:val="00A42A43"/>
    <w:rsid w:val="00A42DEA"/>
    <w:rsid w:val="00A43A12"/>
    <w:rsid w:val="00A43E91"/>
    <w:rsid w:val="00A44BE9"/>
    <w:rsid w:val="00A455C4"/>
    <w:rsid w:val="00A47FCE"/>
    <w:rsid w:val="00A505A7"/>
    <w:rsid w:val="00A507E0"/>
    <w:rsid w:val="00A50D12"/>
    <w:rsid w:val="00A50D43"/>
    <w:rsid w:val="00A51005"/>
    <w:rsid w:val="00A51197"/>
    <w:rsid w:val="00A518BE"/>
    <w:rsid w:val="00A51D02"/>
    <w:rsid w:val="00A51FD8"/>
    <w:rsid w:val="00A534A3"/>
    <w:rsid w:val="00A54BA6"/>
    <w:rsid w:val="00A559E1"/>
    <w:rsid w:val="00A56641"/>
    <w:rsid w:val="00A57231"/>
    <w:rsid w:val="00A6023A"/>
    <w:rsid w:val="00A61095"/>
    <w:rsid w:val="00A620AC"/>
    <w:rsid w:val="00A645E6"/>
    <w:rsid w:val="00A64A50"/>
    <w:rsid w:val="00A65136"/>
    <w:rsid w:val="00A6540C"/>
    <w:rsid w:val="00A657DB"/>
    <w:rsid w:val="00A65BD6"/>
    <w:rsid w:val="00A66262"/>
    <w:rsid w:val="00A71A6E"/>
    <w:rsid w:val="00A7223D"/>
    <w:rsid w:val="00A72776"/>
    <w:rsid w:val="00A736E3"/>
    <w:rsid w:val="00A74449"/>
    <w:rsid w:val="00A75CB8"/>
    <w:rsid w:val="00A75D2A"/>
    <w:rsid w:val="00A75FD7"/>
    <w:rsid w:val="00A76EAB"/>
    <w:rsid w:val="00A7780F"/>
    <w:rsid w:val="00A77C48"/>
    <w:rsid w:val="00A800B4"/>
    <w:rsid w:val="00A808A8"/>
    <w:rsid w:val="00A8121B"/>
    <w:rsid w:val="00A81EB8"/>
    <w:rsid w:val="00A82F5D"/>
    <w:rsid w:val="00A838EB"/>
    <w:rsid w:val="00A84717"/>
    <w:rsid w:val="00A84F35"/>
    <w:rsid w:val="00A84F70"/>
    <w:rsid w:val="00A8523D"/>
    <w:rsid w:val="00A85B23"/>
    <w:rsid w:val="00A87876"/>
    <w:rsid w:val="00A87F5E"/>
    <w:rsid w:val="00A90428"/>
    <w:rsid w:val="00A905A0"/>
    <w:rsid w:val="00A9071F"/>
    <w:rsid w:val="00A90C5A"/>
    <w:rsid w:val="00A90E2B"/>
    <w:rsid w:val="00A91DD8"/>
    <w:rsid w:val="00A92406"/>
    <w:rsid w:val="00A92D82"/>
    <w:rsid w:val="00A94D4B"/>
    <w:rsid w:val="00A97093"/>
    <w:rsid w:val="00A97B7B"/>
    <w:rsid w:val="00AA1414"/>
    <w:rsid w:val="00AA1436"/>
    <w:rsid w:val="00AA18D1"/>
    <w:rsid w:val="00AA1B17"/>
    <w:rsid w:val="00AA1C23"/>
    <w:rsid w:val="00AA1C36"/>
    <w:rsid w:val="00AA1DF5"/>
    <w:rsid w:val="00AA2298"/>
    <w:rsid w:val="00AA23D6"/>
    <w:rsid w:val="00AA32FC"/>
    <w:rsid w:val="00AA3BEB"/>
    <w:rsid w:val="00AA3E40"/>
    <w:rsid w:val="00AA3EA6"/>
    <w:rsid w:val="00AA429C"/>
    <w:rsid w:val="00AA4E22"/>
    <w:rsid w:val="00AA5A67"/>
    <w:rsid w:val="00AA6CD0"/>
    <w:rsid w:val="00AA6FD1"/>
    <w:rsid w:val="00AA710C"/>
    <w:rsid w:val="00AA7240"/>
    <w:rsid w:val="00AA7F35"/>
    <w:rsid w:val="00AB0083"/>
    <w:rsid w:val="00AB051E"/>
    <w:rsid w:val="00AB33DD"/>
    <w:rsid w:val="00AB36D2"/>
    <w:rsid w:val="00AB3D45"/>
    <w:rsid w:val="00AB3F80"/>
    <w:rsid w:val="00AB4643"/>
    <w:rsid w:val="00AB7AB5"/>
    <w:rsid w:val="00AC073C"/>
    <w:rsid w:val="00AC0A50"/>
    <w:rsid w:val="00AC1161"/>
    <w:rsid w:val="00AC11EA"/>
    <w:rsid w:val="00AC1588"/>
    <w:rsid w:val="00AC17B9"/>
    <w:rsid w:val="00AC1FC4"/>
    <w:rsid w:val="00AC2AE0"/>
    <w:rsid w:val="00AC2D53"/>
    <w:rsid w:val="00AC3851"/>
    <w:rsid w:val="00AC3D53"/>
    <w:rsid w:val="00AC77E6"/>
    <w:rsid w:val="00AC79D5"/>
    <w:rsid w:val="00AD03E1"/>
    <w:rsid w:val="00AD0BEB"/>
    <w:rsid w:val="00AD197F"/>
    <w:rsid w:val="00AD2346"/>
    <w:rsid w:val="00AD34A4"/>
    <w:rsid w:val="00AD3847"/>
    <w:rsid w:val="00AD5724"/>
    <w:rsid w:val="00AD5DF7"/>
    <w:rsid w:val="00AD6EC6"/>
    <w:rsid w:val="00AE2773"/>
    <w:rsid w:val="00AE2D99"/>
    <w:rsid w:val="00AE2DFA"/>
    <w:rsid w:val="00AE4951"/>
    <w:rsid w:val="00AE519B"/>
    <w:rsid w:val="00AE5484"/>
    <w:rsid w:val="00AE64CF"/>
    <w:rsid w:val="00AE7DC4"/>
    <w:rsid w:val="00AE7FD4"/>
    <w:rsid w:val="00AF155C"/>
    <w:rsid w:val="00AF181C"/>
    <w:rsid w:val="00AF189C"/>
    <w:rsid w:val="00AF2559"/>
    <w:rsid w:val="00AF2628"/>
    <w:rsid w:val="00AF2B4A"/>
    <w:rsid w:val="00AF4098"/>
    <w:rsid w:val="00AF4B5E"/>
    <w:rsid w:val="00AF60C1"/>
    <w:rsid w:val="00AF6B63"/>
    <w:rsid w:val="00AF727F"/>
    <w:rsid w:val="00B00834"/>
    <w:rsid w:val="00B0216D"/>
    <w:rsid w:val="00B03455"/>
    <w:rsid w:val="00B03FB3"/>
    <w:rsid w:val="00B04E43"/>
    <w:rsid w:val="00B0501B"/>
    <w:rsid w:val="00B0555A"/>
    <w:rsid w:val="00B060D6"/>
    <w:rsid w:val="00B062CB"/>
    <w:rsid w:val="00B06C4E"/>
    <w:rsid w:val="00B101EC"/>
    <w:rsid w:val="00B10757"/>
    <w:rsid w:val="00B1094E"/>
    <w:rsid w:val="00B10D37"/>
    <w:rsid w:val="00B112D2"/>
    <w:rsid w:val="00B1143C"/>
    <w:rsid w:val="00B1180E"/>
    <w:rsid w:val="00B11950"/>
    <w:rsid w:val="00B1254D"/>
    <w:rsid w:val="00B12F52"/>
    <w:rsid w:val="00B1388B"/>
    <w:rsid w:val="00B13D04"/>
    <w:rsid w:val="00B14110"/>
    <w:rsid w:val="00B147C8"/>
    <w:rsid w:val="00B16E4F"/>
    <w:rsid w:val="00B16F3D"/>
    <w:rsid w:val="00B17E38"/>
    <w:rsid w:val="00B20A33"/>
    <w:rsid w:val="00B210E0"/>
    <w:rsid w:val="00B2140D"/>
    <w:rsid w:val="00B2151D"/>
    <w:rsid w:val="00B232B9"/>
    <w:rsid w:val="00B25810"/>
    <w:rsid w:val="00B267DF"/>
    <w:rsid w:val="00B26B9D"/>
    <w:rsid w:val="00B30607"/>
    <w:rsid w:val="00B316DC"/>
    <w:rsid w:val="00B31ABC"/>
    <w:rsid w:val="00B31CA5"/>
    <w:rsid w:val="00B33000"/>
    <w:rsid w:val="00B339FF"/>
    <w:rsid w:val="00B33DCE"/>
    <w:rsid w:val="00B33F78"/>
    <w:rsid w:val="00B3455E"/>
    <w:rsid w:val="00B3534A"/>
    <w:rsid w:val="00B36717"/>
    <w:rsid w:val="00B367CE"/>
    <w:rsid w:val="00B36AC9"/>
    <w:rsid w:val="00B36C17"/>
    <w:rsid w:val="00B36CE0"/>
    <w:rsid w:val="00B37236"/>
    <w:rsid w:val="00B40316"/>
    <w:rsid w:val="00B4158F"/>
    <w:rsid w:val="00B43019"/>
    <w:rsid w:val="00B43160"/>
    <w:rsid w:val="00B43936"/>
    <w:rsid w:val="00B44111"/>
    <w:rsid w:val="00B445D0"/>
    <w:rsid w:val="00B4512C"/>
    <w:rsid w:val="00B50F3D"/>
    <w:rsid w:val="00B511B8"/>
    <w:rsid w:val="00B51A62"/>
    <w:rsid w:val="00B52D70"/>
    <w:rsid w:val="00B531A4"/>
    <w:rsid w:val="00B53796"/>
    <w:rsid w:val="00B5416D"/>
    <w:rsid w:val="00B54414"/>
    <w:rsid w:val="00B5458E"/>
    <w:rsid w:val="00B5569C"/>
    <w:rsid w:val="00B558EB"/>
    <w:rsid w:val="00B55D8A"/>
    <w:rsid w:val="00B568E2"/>
    <w:rsid w:val="00B6063C"/>
    <w:rsid w:val="00B60819"/>
    <w:rsid w:val="00B60FC2"/>
    <w:rsid w:val="00B622B0"/>
    <w:rsid w:val="00B62EFF"/>
    <w:rsid w:val="00B633FD"/>
    <w:rsid w:val="00B640C2"/>
    <w:rsid w:val="00B64BCE"/>
    <w:rsid w:val="00B656A4"/>
    <w:rsid w:val="00B659CE"/>
    <w:rsid w:val="00B65D8F"/>
    <w:rsid w:val="00B668F2"/>
    <w:rsid w:val="00B67EF5"/>
    <w:rsid w:val="00B71348"/>
    <w:rsid w:val="00B716E4"/>
    <w:rsid w:val="00B71A31"/>
    <w:rsid w:val="00B71F8E"/>
    <w:rsid w:val="00B720E9"/>
    <w:rsid w:val="00B74BCA"/>
    <w:rsid w:val="00B74FAD"/>
    <w:rsid w:val="00B75498"/>
    <w:rsid w:val="00B76138"/>
    <w:rsid w:val="00B766A4"/>
    <w:rsid w:val="00B80B8B"/>
    <w:rsid w:val="00B80F9B"/>
    <w:rsid w:val="00B81D09"/>
    <w:rsid w:val="00B82849"/>
    <w:rsid w:val="00B83867"/>
    <w:rsid w:val="00B83911"/>
    <w:rsid w:val="00B839EA"/>
    <w:rsid w:val="00B83B3B"/>
    <w:rsid w:val="00B83FA2"/>
    <w:rsid w:val="00B841C6"/>
    <w:rsid w:val="00B86D22"/>
    <w:rsid w:val="00B8749F"/>
    <w:rsid w:val="00B87583"/>
    <w:rsid w:val="00B90201"/>
    <w:rsid w:val="00B9032A"/>
    <w:rsid w:val="00B91630"/>
    <w:rsid w:val="00B92F18"/>
    <w:rsid w:val="00B9407A"/>
    <w:rsid w:val="00B94BA1"/>
    <w:rsid w:val="00B961FD"/>
    <w:rsid w:val="00B96B8A"/>
    <w:rsid w:val="00B970F3"/>
    <w:rsid w:val="00BA0493"/>
    <w:rsid w:val="00BA05F3"/>
    <w:rsid w:val="00BA112C"/>
    <w:rsid w:val="00BA1B54"/>
    <w:rsid w:val="00BA1E9B"/>
    <w:rsid w:val="00BA1F61"/>
    <w:rsid w:val="00BA20E2"/>
    <w:rsid w:val="00BA2DAA"/>
    <w:rsid w:val="00BA2ED5"/>
    <w:rsid w:val="00BA33F5"/>
    <w:rsid w:val="00BA3ABE"/>
    <w:rsid w:val="00BA3B6D"/>
    <w:rsid w:val="00BA4172"/>
    <w:rsid w:val="00BA4B78"/>
    <w:rsid w:val="00BA5464"/>
    <w:rsid w:val="00BA5EC7"/>
    <w:rsid w:val="00BA5F47"/>
    <w:rsid w:val="00BA612E"/>
    <w:rsid w:val="00BA6A96"/>
    <w:rsid w:val="00BA7078"/>
    <w:rsid w:val="00BB11ED"/>
    <w:rsid w:val="00BB1B7A"/>
    <w:rsid w:val="00BB2712"/>
    <w:rsid w:val="00BB29AE"/>
    <w:rsid w:val="00BB2EC6"/>
    <w:rsid w:val="00BB4C66"/>
    <w:rsid w:val="00BB4C82"/>
    <w:rsid w:val="00BB75DE"/>
    <w:rsid w:val="00BB7E6F"/>
    <w:rsid w:val="00BB7F41"/>
    <w:rsid w:val="00BC044A"/>
    <w:rsid w:val="00BC128B"/>
    <w:rsid w:val="00BC21B6"/>
    <w:rsid w:val="00BC54DE"/>
    <w:rsid w:val="00BC67C1"/>
    <w:rsid w:val="00BC7262"/>
    <w:rsid w:val="00BC739A"/>
    <w:rsid w:val="00BC7B40"/>
    <w:rsid w:val="00BD2320"/>
    <w:rsid w:val="00BD34A9"/>
    <w:rsid w:val="00BD3F62"/>
    <w:rsid w:val="00BD45C3"/>
    <w:rsid w:val="00BD55FC"/>
    <w:rsid w:val="00BE01A4"/>
    <w:rsid w:val="00BE0411"/>
    <w:rsid w:val="00BE0EFE"/>
    <w:rsid w:val="00BE220A"/>
    <w:rsid w:val="00BE2299"/>
    <w:rsid w:val="00BE2320"/>
    <w:rsid w:val="00BE2FD7"/>
    <w:rsid w:val="00BE375E"/>
    <w:rsid w:val="00BE3A8C"/>
    <w:rsid w:val="00BE467D"/>
    <w:rsid w:val="00BE5035"/>
    <w:rsid w:val="00BE5058"/>
    <w:rsid w:val="00BE5141"/>
    <w:rsid w:val="00BE63E6"/>
    <w:rsid w:val="00BE6F53"/>
    <w:rsid w:val="00BF164F"/>
    <w:rsid w:val="00BF195E"/>
    <w:rsid w:val="00BF2B13"/>
    <w:rsid w:val="00BF2FC3"/>
    <w:rsid w:val="00BF3D89"/>
    <w:rsid w:val="00BF46F7"/>
    <w:rsid w:val="00BF4DE1"/>
    <w:rsid w:val="00BF7C89"/>
    <w:rsid w:val="00BF7D4C"/>
    <w:rsid w:val="00C0032E"/>
    <w:rsid w:val="00C0072A"/>
    <w:rsid w:val="00C01B8D"/>
    <w:rsid w:val="00C01E44"/>
    <w:rsid w:val="00C022E7"/>
    <w:rsid w:val="00C0302C"/>
    <w:rsid w:val="00C0349F"/>
    <w:rsid w:val="00C05A4C"/>
    <w:rsid w:val="00C0663F"/>
    <w:rsid w:val="00C077A6"/>
    <w:rsid w:val="00C11BCC"/>
    <w:rsid w:val="00C12DA3"/>
    <w:rsid w:val="00C14267"/>
    <w:rsid w:val="00C14D4E"/>
    <w:rsid w:val="00C15962"/>
    <w:rsid w:val="00C1773C"/>
    <w:rsid w:val="00C21BD8"/>
    <w:rsid w:val="00C24856"/>
    <w:rsid w:val="00C249D8"/>
    <w:rsid w:val="00C251D9"/>
    <w:rsid w:val="00C25527"/>
    <w:rsid w:val="00C2605F"/>
    <w:rsid w:val="00C26626"/>
    <w:rsid w:val="00C26C9A"/>
    <w:rsid w:val="00C27D3E"/>
    <w:rsid w:val="00C3001A"/>
    <w:rsid w:val="00C334D3"/>
    <w:rsid w:val="00C33C92"/>
    <w:rsid w:val="00C34D76"/>
    <w:rsid w:val="00C3652B"/>
    <w:rsid w:val="00C36AB1"/>
    <w:rsid w:val="00C36FC5"/>
    <w:rsid w:val="00C37388"/>
    <w:rsid w:val="00C37439"/>
    <w:rsid w:val="00C3775E"/>
    <w:rsid w:val="00C37C94"/>
    <w:rsid w:val="00C37EFA"/>
    <w:rsid w:val="00C40171"/>
    <w:rsid w:val="00C4075F"/>
    <w:rsid w:val="00C407DE"/>
    <w:rsid w:val="00C412D2"/>
    <w:rsid w:val="00C41543"/>
    <w:rsid w:val="00C42E52"/>
    <w:rsid w:val="00C44930"/>
    <w:rsid w:val="00C44EA5"/>
    <w:rsid w:val="00C45142"/>
    <w:rsid w:val="00C452FC"/>
    <w:rsid w:val="00C459B0"/>
    <w:rsid w:val="00C477B4"/>
    <w:rsid w:val="00C47A9E"/>
    <w:rsid w:val="00C47FDC"/>
    <w:rsid w:val="00C516EE"/>
    <w:rsid w:val="00C51D33"/>
    <w:rsid w:val="00C51D39"/>
    <w:rsid w:val="00C524A1"/>
    <w:rsid w:val="00C54B23"/>
    <w:rsid w:val="00C5653F"/>
    <w:rsid w:val="00C56DE0"/>
    <w:rsid w:val="00C5729F"/>
    <w:rsid w:val="00C602A6"/>
    <w:rsid w:val="00C61786"/>
    <w:rsid w:val="00C61E0B"/>
    <w:rsid w:val="00C62FF9"/>
    <w:rsid w:val="00C63F43"/>
    <w:rsid w:val="00C6479A"/>
    <w:rsid w:val="00C64936"/>
    <w:rsid w:val="00C660CD"/>
    <w:rsid w:val="00C67778"/>
    <w:rsid w:val="00C67ED1"/>
    <w:rsid w:val="00C70268"/>
    <w:rsid w:val="00C71AAA"/>
    <w:rsid w:val="00C73AD5"/>
    <w:rsid w:val="00C73CEC"/>
    <w:rsid w:val="00C7435C"/>
    <w:rsid w:val="00C770C2"/>
    <w:rsid w:val="00C7746B"/>
    <w:rsid w:val="00C805C7"/>
    <w:rsid w:val="00C81410"/>
    <w:rsid w:val="00C816A1"/>
    <w:rsid w:val="00C82182"/>
    <w:rsid w:val="00C8226A"/>
    <w:rsid w:val="00C83322"/>
    <w:rsid w:val="00C83F35"/>
    <w:rsid w:val="00C8458A"/>
    <w:rsid w:val="00C8463F"/>
    <w:rsid w:val="00C85298"/>
    <w:rsid w:val="00C85346"/>
    <w:rsid w:val="00C85879"/>
    <w:rsid w:val="00C86489"/>
    <w:rsid w:val="00C86979"/>
    <w:rsid w:val="00C87204"/>
    <w:rsid w:val="00C87651"/>
    <w:rsid w:val="00C878F1"/>
    <w:rsid w:val="00C90D0F"/>
    <w:rsid w:val="00C91814"/>
    <w:rsid w:val="00C922E0"/>
    <w:rsid w:val="00C9265B"/>
    <w:rsid w:val="00C9379C"/>
    <w:rsid w:val="00C94061"/>
    <w:rsid w:val="00C943EC"/>
    <w:rsid w:val="00C9459D"/>
    <w:rsid w:val="00C94841"/>
    <w:rsid w:val="00C95240"/>
    <w:rsid w:val="00C95348"/>
    <w:rsid w:val="00C961E8"/>
    <w:rsid w:val="00C96539"/>
    <w:rsid w:val="00C9692F"/>
    <w:rsid w:val="00C978C6"/>
    <w:rsid w:val="00CA00AD"/>
    <w:rsid w:val="00CA0291"/>
    <w:rsid w:val="00CA033E"/>
    <w:rsid w:val="00CA2012"/>
    <w:rsid w:val="00CA22F3"/>
    <w:rsid w:val="00CA2394"/>
    <w:rsid w:val="00CA3F2F"/>
    <w:rsid w:val="00CA4165"/>
    <w:rsid w:val="00CA4C15"/>
    <w:rsid w:val="00CA6B69"/>
    <w:rsid w:val="00CA7537"/>
    <w:rsid w:val="00CB02D4"/>
    <w:rsid w:val="00CB0938"/>
    <w:rsid w:val="00CB11FC"/>
    <w:rsid w:val="00CB27BD"/>
    <w:rsid w:val="00CB2EB8"/>
    <w:rsid w:val="00CB33EA"/>
    <w:rsid w:val="00CB6480"/>
    <w:rsid w:val="00CB724C"/>
    <w:rsid w:val="00CC0096"/>
    <w:rsid w:val="00CC0297"/>
    <w:rsid w:val="00CC2B08"/>
    <w:rsid w:val="00CC3DBD"/>
    <w:rsid w:val="00CC3E94"/>
    <w:rsid w:val="00CC410F"/>
    <w:rsid w:val="00CC4193"/>
    <w:rsid w:val="00CC57FB"/>
    <w:rsid w:val="00CC5C6F"/>
    <w:rsid w:val="00CC65C9"/>
    <w:rsid w:val="00CC6E8D"/>
    <w:rsid w:val="00CC7342"/>
    <w:rsid w:val="00CD14ED"/>
    <w:rsid w:val="00CD20BD"/>
    <w:rsid w:val="00CD2AC0"/>
    <w:rsid w:val="00CD4012"/>
    <w:rsid w:val="00CD42FB"/>
    <w:rsid w:val="00CD59B4"/>
    <w:rsid w:val="00CD5F60"/>
    <w:rsid w:val="00CD6B7F"/>
    <w:rsid w:val="00CD6C93"/>
    <w:rsid w:val="00CD6D7A"/>
    <w:rsid w:val="00CD7E85"/>
    <w:rsid w:val="00CE058A"/>
    <w:rsid w:val="00CE15E2"/>
    <w:rsid w:val="00CE2332"/>
    <w:rsid w:val="00CE311D"/>
    <w:rsid w:val="00CE34E7"/>
    <w:rsid w:val="00CE41A9"/>
    <w:rsid w:val="00CE452D"/>
    <w:rsid w:val="00CE46DA"/>
    <w:rsid w:val="00CE4BDD"/>
    <w:rsid w:val="00CE4C9C"/>
    <w:rsid w:val="00CE628E"/>
    <w:rsid w:val="00CE6BA4"/>
    <w:rsid w:val="00CF016C"/>
    <w:rsid w:val="00CF0308"/>
    <w:rsid w:val="00CF09BE"/>
    <w:rsid w:val="00CF0AFD"/>
    <w:rsid w:val="00CF1367"/>
    <w:rsid w:val="00CF1652"/>
    <w:rsid w:val="00CF165C"/>
    <w:rsid w:val="00CF19D5"/>
    <w:rsid w:val="00CF23C2"/>
    <w:rsid w:val="00CF3008"/>
    <w:rsid w:val="00CF39D2"/>
    <w:rsid w:val="00CF5927"/>
    <w:rsid w:val="00CF62D2"/>
    <w:rsid w:val="00CF6F2D"/>
    <w:rsid w:val="00CF75CE"/>
    <w:rsid w:val="00CF7667"/>
    <w:rsid w:val="00CF787E"/>
    <w:rsid w:val="00D00D26"/>
    <w:rsid w:val="00D0146F"/>
    <w:rsid w:val="00D02C3F"/>
    <w:rsid w:val="00D032F1"/>
    <w:rsid w:val="00D0364D"/>
    <w:rsid w:val="00D03C3B"/>
    <w:rsid w:val="00D04E53"/>
    <w:rsid w:val="00D063B8"/>
    <w:rsid w:val="00D07912"/>
    <w:rsid w:val="00D10A99"/>
    <w:rsid w:val="00D10DC6"/>
    <w:rsid w:val="00D11641"/>
    <w:rsid w:val="00D116C2"/>
    <w:rsid w:val="00D11975"/>
    <w:rsid w:val="00D1293B"/>
    <w:rsid w:val="00D13436"/>
    <w:rsid w:val="00D13E1E"/>
    <w:rsid w:val="00D1429A"/>
    <w:rsid w:val="00D1594C"/>
    <w:rsid w:val="00D17E11"/>
    <w:rsid w:val="00D23722"/>
    <w:rsid w:val="00D239EE"/>
    <w:rsid w:val="00D23A12"/>
    <w:rsid w:val="00D243F9"/>
    <w:rsid w:val="00D24FE0"/>
    <w:rsid w:val="00D25994"/>
    <w:rsid w:val="00D260E7"/>
    <w:rsid w:val="00D30B06"/>
    <w:rsid w:val="00D30D6E"/>
    <w:rsid w:val="00D3250B"/>
    <w:rsid w:val="00D326D3"/>
    <w:rsid w:val="00D32807"/>
    <w:rsid w:val="00D32C85"/>
    <w:rsid w:val="00D33988"/>
    <w:rsid w:val="00D345A3"/>
    <w:rsid w:val="00D34687"/>
    <w:rsid w:val="00D3477E"/>
    <w:rsid w:val="00D350B8"/>
    <w:rsid w:val="00D352BC"/>
    <w:rsid w:val="00D35315"/>
    <w:rsid w:val="00D354D2"/>
    <w:rsid w:val="00D35C79"/>
    <w:rsid w:val="00D3644A"/>
    <w:rsid w:val="00D37149"/>
    <w:rsid w:val="00D37DBD"/>
    <w:rsid w:val="00D40F1E"/>
    <w:rsid w:val="00D415B1"/>
    <w:rsid w:val="00D420EE"/>
    <w:rsid w:val="00D42543"/>
    <w:rsid w:val="00D426F7"/>
    <w:rsid w:val="00D42CB7"/>
    <w:rsid w:val="00D4349E"/>
    <w:rsid w:val="00D43A1B"/>
    <w:rsid w:val="00D43AA4"/>
    <w:rsid w:val="00D43C96"/>
    <w:rsid w:val="00D43E33"/>
    <w:rsid w:val="00D44240"/>
    <w:rsid w:val="00D444BA"/>
    <w:rsid w:val="00D44C4C"/>
    <w:rsid w:val="00D44ECB"/>
    <w:rsid w:val="00D45971"/>
    <w:rsid w:val="00D45C58"/>
    <w:rsid w:val="00D50235"/>
    <w:rsid w:val="00D50896"/>
    <w:rsid w:val="00D515C0"/>
    <w:rsid w:val="00D52581"/>
    <w:rsid w:val="00D52977"/>
    <w:rsid w:val="00D52D77"/>
    <w:rsid w:val="00D53AD3"/>
    <w:rsid w:val="00D547D3"/>
    <w:rsid w:val="00D54947"/>
    <w:rsid w:val="00D54C84"/>
    <w:rsid w:val="00D55133"/>
    <w:rsid w:val="00D55398"/>
    <w:rsid w:val="00D55B10"/>
    <w:rsid w:val="00D577F0"/>
    <w:rsid w:val="00D60782"/>
    <w:rsid w:val="00D6172D"/>
    <w:rsid w:val="00D61CEB"/>
    <w:rsid w:val="00D62033"/>
    <w:rsid w:val="00D620B3"/>
    <w:rsid w:val="00D65A5B"/>
    <w:rsid w:val="00D65AE3"/>
    <w:rsid w:val="00D661F5"/>
    <w:rsid w:val="00D66388"/>
    <w:rsid w:val="00D67951"/>
    <w:rsid w:val="00D703C7"/>
    <w:rsid w:val="00D70735"/>
    <w:rsid w:val="00D708AA"/>
    <w:rsid w:val="00D70D1F"/>
    <w:rsid w:val="00D7160F"/>
    <w:rsid w:val="00D72638"/>
    <w:rsid w:val="00D72D43"/>
    <w:rsid w:val="00D7303E"/>
    <w:rsid w:val="00D731A4"/>
    <w:rsid w:val="00D73B98"/>
    <w:rsid w:val="00D73C12"/>
    <w:rsid w:val="00D73FD2"/>
    <w:rsid w:val="00D741AD"/>
    <w:rsid w:val="00D7443E"/>
    <w:rsid w:val="00D74CE0"/>
    <w:rsid w:val="00D74D01"/>
    <w:rsid w:val="00D750A5"/>
    <w:rsid w:val="00D7591F"/>
    <w:rsid w:val="00D75E08"/>
    <w:rsid w:val="00D76B47"/>
    <w:rsid w:val="00D771D7"/>
    <w:rsid w:val="00D778E5"/>
    <w:rsid w:val="00D80634"/>
    <w:rsid w:val="00D8171B"/>
    <w:rsid w:val="00D8331C"/>
    <w:rsid w:val="00D83785"/>
    <w:rsid w:val="00D83909"/>
    <w:rsid w:val="00D83EDA"/>
    <w:rsid w:val="00D83F70"/>
    <w:rsid w:val="00D8402E"/>
    <w:rsid w:val="00D853AB"/>
    <w:rsid w:val="00D86758"/>
    <w:rsid w:val="00D879EE"/>
    <w:rsid w:val="00D903CD"/>
    <w:rsid w:val="00D9114F"/>
    <w:rsid w:val="00D91333"/>
    <w:rsid w:val="00D91C8E"/>
    <w:rsid w:val="00D92337"/>
    <w:rsid w:val="00D92903"/>
    <w:rsid w:val="00D932CC"/>
    <w:rsid w:val="00D946E7"/>
    <w:rsid w:val="00D952DF"/>
    <w:rsid w:val="00D95695"/>
    <w:rsid w:val="00D95F63"/>
    <w:rsid w:val="00D96744"/>
    <w:rsid w:val="00D96945"/>
    <w:rsid w:val="00D97442"/>
    <w:rsid w:val="00D97A0C"/>
    <w:rsid w:val="00D97F3B"/>
    <w:rsid w:val="00DA0390"/>
    <w:rsid w:val="00DA37E0"/>
    <w:rsid w:val="00DA4265"/>
    <w:rsid w:val="00DA7770"/>
    <w:rsid w:val="00DA7DDC"/>
    <w:rsid w:val="00DB0DB4"/>
    <w:rsid w:val="00DB10F2"/>
    <w:rsid w:val="00DB1728"/>
    <w:rsid w:val="00DB174F"/>
    <w:rsid w:val="00DB1811"/>
    <w:rsid w:val="00DB3280"/>
    <w:rsid w:val="00DB3DC7"/>
    <w:rsid w:val="00DB42A5"/>
    <w:rsid w:val="00DB45C9"/>
    <w:rsid w:val="00DB4D95"/>
    <w:rsid w:val="00DB4D98"/>
    <w:rsid w:val="00DB76C9"/>
    <w:rsid w:val="00DB7C85"/>
    <w:rsid w:val="00DB7ED5"/>
    <w:rsid w:val="00DC05F2"/>
    <w:rsid w:val="00DC1211"/>
    <w:rsid w:val="00DC1DDA"/>
    <w:rsid w:val="00DC1F81"/>
    <w:rsid w:val="00DC32C9"/>
    <w:rsid w:val="00DC3E3E"/>
    <w:rsid w:val="00DC652D"/>
    <w:rsid w:val="00DD113C"/>
    <w:rsid w:val="00DD1688"/>
    <w:rsid w:val="00DD2E90"/>
    <w:rsid w:val="00DD338B"/>
    <w:rsid w:val="00DD3BB8"/>
    <w:rsid w:val="00DD55C3"/>
    <w:rsid w:val="00DD5805"/>
    <w:rsid w:val="00DD7660"/>
    <w:rsid w:val="00DE19BC"/>
    <w:rsid w:val="00DE1B2A"/>
    <w:rsid w:val="00DE20FE"/>
    <w:rsid w:val="00DE33FC"/>
    <w:rsid w:val="00DE374C"/>
    <w:rsid w:val="00DE4058"/>
    <w:rsid w:val="00DE65F4"/>
    <w:rsid w:val="00DE69EF"/>
    <w:rsid w:val="00DE6D2F"/>
    <w:rsid w:val="00DE79FD"/>
    <w:rsid w:val="00DF018E"/>
    <w:rsid w:val="00DF124C"/>
    <w:rsid w:val="00DF1BD4"/>
    <w:rsid w:val="00DF26E8"/>
    <w:rsid w:val="00DF2EC9"/>
    <w:rsid w:val="00DF4EE4"/>
    <w:rsid w:val="00DF591E"/>
    <w:rsid w:val="00DF6C14"/>
    <w:rsid w:val="00E00697"/>
    <w:rsid w:val="00E00B43"/>
    <w:rsid w:val="00E021A1"/>
    <w:rsid w:val="00E023A1"/>
    <w:rsid w:val="00E02B93"/>
    <w:rsid w:val="00E03823"/>
    <w:rsid w:val="00E03E13"/>
    <w:rsid w:val="00E05713"/>
    <w:rsid w:val="00E05A12"/>
    <w:rsid w:val="00E05B64"/>
    <w:rsid w:val="00E05E54"/>
    <w:rsid w:val="00E06280"/>
    <w:rsid w:val="00E064F7"/>
    <w:rsid w:val="00E06599"/>
    <w:rsid w:val="00E07236"/>
    <w:rsid w:val="00E07B1B"/>
    <w:rsid w:val="00E07C10"/>
    <w:rsid w:val="00E106B1"/>
    <w:rsid w:val="00E10D1B"/>
    <w:rsid w:val="00E11642"/>
    <w:rsid w:val="00E11CDF"/>
    <w:rsid w:val="00E11F41"/>
    <w:rsid w:val="00E12D08"/>
    <w:rsid w:val="00E12E3C"/>
    <w:rsid w:val="00E1409B"/>
    <w:rsid w:val="00E14AA3"/>
    <w:rsid w:val="00E14C1F"/>
    <w:rsid w:val="00E14E65"/>
    <w:rsid w:val="00E15724"/>
    <w:rsid w:val="00E15D52"/>
    <w:rsid w:val="00E16575"/>
    <w:rsid w:val="00E16BF1"/>
    <w:rsid w:val="00E16E69"/>
    <w:rsid w:val="00E207D6"/>
    <w:rsid w:val="00E21265"/>
    <w:rsid w:val="00E213F0"/>
    <w:rsid w:val="00E22366"/>
    <w:rsid w:val="00E22F37"/>
    <w:rsid w:val="00E23F66"/>
    <w:rsid w:val="00E24F2B"/>
    <w:rsid w:val="00E251D7"/>
    <w:rsid w:val="00E252B1"/>
    <w:rsid w:val="00E25589"/>
    <w:rsid w:val="00E257A4"/>
    <w:rsid w:val="00E25C4E"/>
    <w:rsid w:val="00E26056"/>
    <w:rsid w:val="00E264EC"/>
    <w:rsid w:val="00E26806"/>
    <w:rsid w:val="00E26A68"/>
    <w:rsid w:val="00E26B46"/>
    <w:rsid w:val="00E273E7"/>
    <w:rsid w:val="00E278AB"/>
    <w:rsid w:val="00E30B08"/>
    <w:rsid w:val="00E314FF"/>
    <w:rsid w:val="00E31A47"/>
    <w:rsid w:val="00E33104"/>
    <w:rsid w:val="00E3573A"/>
    <w:rsid w:val="00E3579A"/>
    <w:rsid w:val="00E365DE"/>
    <w:rsid w:val="00E3672B"/>
    <w:rsid w:val="00E400F2"/>
    <w:rsid w:val="00E40445"/>
    <w:rsid w:val="00E40A55"/>
    <w:rsid w:val="00E40C06"/>
    <w:rsid w:val="00E41099"/>
    <w:rsid w:val="00E4127D"/>
    <w:rsid w:val="00E4224E"/>
    <w:rsid w:val="00E42D07"/>
    <w:rsid w:val="00E432CD"/>
    <w:rsid w:val="00E43772"/>
    <w:rsid w:val="00E44000"/>
    <w:rsid w:val="00E447E3"/>
    <w:rsid w:val="00E44962"/>
    <w:rsid w:val="00E44ADC"/>
    <w:rsid w:val="00E44C2A"/>
    <w:rsid w:val="00E44CA4"/>
    <w:rsid w:val="00E44D86"/>
    <w:rsid w:val="00E45129"/>
    <w:rsid w:val="00E456C7"/>
    <w:rsid w:val="00E46F9C"/>
    <w:rsid w:val="00E50378"/>
    <w:rsid w:val="00E506CA"/>
    <w:rsid w:val="00E51C02"/>
    <w:rsid w:val="00E52E8A"/>
    <w:rsid w:val="00E54F29"/>
    <w:rsid w:val="00E55423"/>
    <w:rsid w:val="00E5757F"/>
    <w:rsid w:val="00E575C9"/>
    <w:rsid w:val="00E6096C"/>
    <w:rsid w:val="00E61067"/>
    <w:rsid w:val="00E613CF"/>
    <w:rsid w:val="00E62644"/>
    <w:rsid w:val="00E62C19"/>
    <w:rsid w:val="00E63715"/>
    <w:rsid w:val="00E64D0E"/>
    <w:rsid w:val="00E64F06"/>
    <w:rsid w:val="00E6587A"/>
    <w:rsid w:val="00E67D04"/>
    <w:rsid w:val="00E70E80"/>
    <w:rsid w:val="00E71488"/>
    <w:rsid w:val="00E71812"/>
    <w:rsid w:val="00E7205D"/>
    <w:rsid w:val="00E72A6B"/>
    <w:rsid w:val="00E72ADE"/>
    <w:rsid w:val="00E740BB"/>
    <w:rsid w:val="00E74BAB"/>
    <w:rsid w:val="00E763CF"/>
    <w:rsid w:val="00E7664B"/>
    <w:rsid w:val="00E76E29"/>
    <w:rsid w:val="00E77237"/>
    <w:rsid w:val="00E77437"/>
    <w:rsid w:val="00E77B0D"/>
    <w:rsid w:val="00E81334"/>
    <w:rsid w:val="00E81363"/>
    <w:rsid w:val="00E8206E"/>
    <w:rsid w:val="00E83AEF"/>
    <w:rsid w:val="00E83DF6"/>
    <w:rsid w:val="00E84131"/>
    <w:rsid w:val="00E8415C"/>
    <w:rsid w:val="00E85772"/>
    <w:rsid w:val="00E85D2D"/>
    <w:rsid w:val="00E86407"/>
    <w:rsid w:val="00E8718F"/>
    <w:rsid w:val="00E8725E"/>
    <w:rsid w:val="00E87BDC"/>
    <w:rsid w:val="00E87E68"/>
    <w:rsid w:val="00E91610"/>
    <w:rsid w:val="00E91D18"/>
    <w:rsid w:val="00E92427"/>
    <w:rsid w:val="00E92569"/>
    <w:rsid w:val="00E92746"/>
    <w:rsid w:val="00E95C54"/>
    <w:rsid w:val="00E95D7D"/>
    <w:rsid w:val="00E96003"/>
    <w:rsid w:val="00E9611D"/>
    <w:rsid w:val="00E9697E"/>
    <w:rsid w:val="00E9797A"/>
    <w:rsid w:val="00E97C71"/>
    <w:rsid w:val="00EA0F75"/>
    <w:rsid w:val="00EA3123"/>
    <w:rsid w:val="00EA425E"/>
    <w:rsid w:val="00EA52FA"/>
    <w:rsid w:val="00EA6BF1"/>
    <w:rsid w:val="00EA7576"/>
    <w:rsid w:val="00EB0B33"/>
    <w:rsid w:val="00EB1F26"/>
    <w:rsid w:val="00EB214A"/>
    <w:rsid w:val="00EB3512"/>
    <w:rsid w:val="00EB3665"/>
    <w:rsid w:val="00EB383D"/>
    <w:rsid w:val="00EB3C13"/>
    <w:rsid w:val="00EB42F0"/>
    <w:rsid w:val="00EB4E66"/>
    <w:rsid w:val="00EB5ABA"/>
    <w:rsid w:val="00EB696F"/>
    <w:rsid w:val="00EB6D3A"/>
    <w:rsid w:val="00EB79DD"/>
    <w:rsid w:val="00EC0BFD"/>
    <w:rsid w:val="00EC1C5D"/>
    <w:rsid w:val="00EC229A"/>
    <w:rsid w:val="00EC2323"/>
    <w:rsid w:val="00EC4174"/>
    <w:rsid w:val="00EC4699"/>
    <w:rsid w:val="00EC65E2"/>
    <w:rsid w:val="00EC6C45"/>
    <w:rsid w:val="00EC7680"/>
    <w:rsid w:val="00ED0651"/>
    <w:rsid w:val="00ED0703"/>
    <w:rsid w:val="00ED11D1"/>
    <w:rsid w:val="00ED193A"/>
    <w:rsid w:val="00ED24DF"/>
    <w:rsid w:val="00ED2591"/>
    <w:rsid w:val="00ED2795"/>
    <w:rsid w:val="00ED2A4C"/>
    <w:rsid w:val="00ED3A62"/>
    <w:rsid w:val="00ED4CF2"/>
    <w:rsid w:val="00ED4F93"/>
    <w:rsid w:val="00ED5985"/>
    <w:rsid w:val="00ED6176"/>
    <w:rsid w:val="00ED6B56"/>
    <w:rsid w:val="00ED6EB0"/>
    <w:rsid w:val="00ED70B5"/>
    <w:rsid w:val="00ED744B"/>
    <w:rsid w:val="00ED7B5F"/>
    <w:rsid w:val="00EE1CE2"/>
    <w:rsid w:val="00EE46CF"/>
    <w:rsid w:val="00EE5ADE"/>
    <w:rsid w:val="00EE5ED5"/>
    <w:rsid w:val="00EE6240"/>
    <w:rsid w:val="00EE69B0"/>
    <w:rsid w:val="00EE6D21"/>
    <w:rsid w:val="00EE7011"/>
    <w:rsid w:val="00EF00FB"/>
    <w:rsid w:val="00EF0EFE"/>
    <w:rsid w:val="00EF3572"/>
    <w:rsid w:val="00EF4DF9"/>
    <w:rsid w:val="00EF76F0"/>
    <w:rsid w:val="00F006B9"/>
    <w:rsid w:val="00F00F1A"/>
    <w:rsid w:val="00F02C57"/>
    <w:rsid w:val="00F02F56"/>
    <w:rsid w:val="00F0303E"/>
    <w:rsid w:val="00F04B10"/>
    <w:rsid w:val="00F059F9"/>
    <w:rsid w:val="00F0779A"/>
    <w:rsid w:val="00F1186D"/>
    <w:rsid w:val="00F11E82"/>
    <w:rsid w:val="00F12718"/>
    <w:rsid w:val="00F133DA"/>
    <w:rsid w:val="00F1348B"/>
    <w:rsid w:val="00F138A8"/>
    <w:rsid w:val="00F145C7"/>
    <w:rsid w:val="00F15188"/>
    <w:rsid w:val="00F15C60"/>
    <w:rsid w:val="00F160AE"/>
    <w:rsid w:val="00F161CC"/>
    <w:rsid w:val="00F206F0"/>
    <w:rsid w:val="00F208BE"/>
    <w:rsid w:val="00F20BAE"/>
    <w:rsid w:val="00F20E3E"/>
    <w:rsid w:val="00F217BA"/>
    <w:rsid w:val="00F23B49"/>
    <w:rsid w:val="00F2494F"/>
    <w:rsid w:val="00F25823"/>
    <w:rsid w:val="00F27187"/>
    <w:rsid w:val="00F27EAC"/>
    <w:rsid w:val="00F30051"/>
    <w:rsid w:val="00F30FED"/>
    <w:rsid w:val="00F31835"/>
    <w:rsid w:val="00F32300"/>
    <w:rsid w:val="00F3250F"/>
    <w:rsid w:val="00F329F9"/>
    <w:rsid w:val="00F33DE5"/>
    <w:rsid w:val="00F33F39"/>
    <w:rsid w:val="00F342BA"/>
    <w:rsid w:val="00F356E8"/>
    <w:rsid w:val="00F370B1"/>
    <w:rsid w:val="00F400A1"/>
    <w:rsid w:val="00F40B4B"/>
    <w:rsid w:val="00F4319F"/>
    <w:rsid w:val="00F43B4B"/>
    <w:rsid w:val="00F453DF"/>
    <w:rsid w:val="00F5003D"/>
    <w:rsid w:val="00F501ED"/>
    <w:rsid w:val="00F50244"/>
    <w:rsid w:val="00F51C66"/>
    <w:rsid w:val="00F51C8D"/>
    <w:rsid w:val="00F51F09"/>
    <w:rsid w:val="00F524F4"/>
    <w:rsid w:val="00F52F1A"/>
    <w:rsid w:val="00F5348C"/>
    <w:rsid w:val="00F542AC"/>
    <w:rsid w:val="00F56028"/>
    <w:rsid w:val="00F5626F"/>
    <w:rsid w:val="00F56C45"/>
    <w:rsid w:val="00F578D0"/>
    <w:rsid w:val="00F61CD5"/>
    <w:rsid w:val="00F6280E"/>
    <w:rsid w:val="00F639B0"/>
    <w:rsid w:val="00F63D0D"/>
    <w:rsid w:val="00F661D8"/>
    <w:rsid w:val="00F66876"/>
    <w:rsid w:val="00F66DB3"/>
    <w:rsid w:val="00F66EBC"/>
    <w:rsid w:val="00F67457"/>
    <w:rsid w:val="00F676D8"/>
    <w:rsid w:val="00F705DB"/>
    <w:rsid w:val="00F71D65"/>
    <w:rsid w:val="00F73723"/>
    <w:rsid w:val="00F73A60"/>
    <w:rsid w:val="00F73ACB"/>
    <w:rsid w:val="00F73C43"/>
    <w:rsid w:val="00F766A7"/>
    <w:rsid w:val="00F77112"/>
    <w:rsid w:val="00F80014"/>
    <w:rsid w:val="00F80B05"/>
    <w:rsid w:val="00F80FFE"/>
    <w:rsid w:val="00F81CC7"/>
    <w:rsid w:val="00F8354B"/>
    <w:rsid w:val="00F843DD"/>
    <w:rsid w:val="00F846C4"/>
    <w:rsid w:val="00F84C51"/>
    <w:rsid w:val="00F86742"/>
    <w:rsid w:val="00F86ECC"/>
    <w:rsid w:val="00F87095"/>
    <w:rsid w:val="00F877A5"/>
    <w:rsid w:val="00F9022C"/>
    <w:rsid w:val="00F90664"/>
    <w:rsid w:val="00F908F0"/>
    <w:rsid w:val="00F91131"/>
    <w:rsid w:val="00F912E5"/>
    <w:rsid w:val="00F91515"/>
    <w:rsid w:val="00F918AB"/>
    <w:rsid w:val="00F91DF5"/>
    <w:rsid w:val="00F92E8D"/>
    <w:rsid w:val="00F9370C"/>
    <w:rsid w:val="00F94022"/>
    <w:rsid w:val="00F94A30"/>
    <w:rsid w:val="00F94F5A"/>
    <w:rsid w:val="00F96554"/>
    <w:rsid w:val="00F9686A"/>
    <w:rsid w:val="00F97996"/>
    <w:rsid w:val="00FA04D0"/>
    <w:rsid w:val="00FA08B2"/>
    <w:rsid w:val="00FA127F"/>
    <w:rsid w:val="00FA1A01"/>
    <w:rsid w:val="00FA29B0"/>
    <w:rsid w:val="00FA3686"/>
    <w:rsid w:val="00FA5965"/>
    <w:rsid w:val="00FB01CA"/>
    <w:rsid w:val="00FB023D"/>
    <w:rsid w:val="00FB039D"/>
    <w:rsid w:val="00FB0FA9"/>
    <w:rsid w:val="00FB2442"/>
    <w:rsid w:val="00FB3B37"/>
    <w:rsid w:val="00FB3E36"/>
    <w:rsid w:val="00FB4343"/>
    <w:rsid w:val="00FB466D"/>
    <w:rsid w:val="00FB487A"/>
    <w:rsid w:val="00FB5539"/>
    <w:rsid w:val="00FB567B"/>
    <w:rsid w:val="00FB5B8F"/>
    <w:rsid w:val="00FB5FBF"/>
    <w:rsid w:val="00FB6641"/>
    <w:rsid w:val="00FB7AD5"/>
    <w:rsid w:val="00FC0A78"/>
    <w:rsid w:val="00FC0DE2"/>
    <w:rsid w:val="00FC23E8"/>
    <w:rsid w:val="00FC3C17"/>
    <w:rsid w:val="00FC4C7E"/>
    <w:rsid w:val="00FC645F"/>
    <w:rsid w:val="00FC6CA4"/>
    <w:rsid w:val="00FC7DBD"/>
    <w:rsid w:val="00FD0845"/>
    <w:rsid w:val="00FD16F3"/>
    <w:rsid w:val="00FD3CB8"/>
    <w:rsid w:val="00FD40CE"/>
    <w:rsid w:val="00FD40DA"/>
    <w:rsid w:val="00FD452B"/>
    <w:rsid w:val="00FD55E5"/>
    <w:rsid w:val="00FD6848"/>
    <w:rsid w:val="00FD6A04"/>
    <w:rsid w:val="00FD6E6D"/>
    <w:rsid w:val="00FD7DA6"/>
    <w:rsid w:val="00FE0976"/>
    <w:rsid w:val="00FE0A89"/>
    <w:rsid w:val="00FE1535"/>
    <w:rsid w:val="00FE1EE1"/>
    <w:rsid w:val="00FE2DB6"/>
    <w:rsid w:val="00FE32F2"/>
    <w:rsid w:val="00FE3CC7"/>
    <w:rsid w:val="00FE3CF6"/>
    <w:rsid w:val="00FE4EE4"/>
    <w:rsid w:val="00FE5BEE"/>
    <w:rsid w:val="00FE6F2D"/>
    <w:rsid w:val="00FF026B"/>
    <w:rsid w:val="00FF0F0C"/>
    <w:rsid w:val="00FF13EA"/>
    <w:rsid w:val="00FF367C"/>
    <w:rsid w:val="00FF3921"/>
    <w:rsid w:val="00FF460F"/>
    <w:rsid w:val="00FF50E0"/>
    <w:rsid w:val="00FF77A9"/>
    <w:rsid w:val="00FF7D7C"/>
    <w:rsid w:val="01293C05"/>
    <w:rsid w:val="017B634D"/>
    <w:rsid w:val="01983C00"/>
    <w:rsid w:val="01B83F92"/>
    <w:rsid w:val="01D07C64"/>
    <w:rsid w:val="023D413A"/>
    <w:rsid w:val="027C74A2"/>
    <w:rsid w:val="02B04479"/>
    <w:rsid w:val="03204EF3"/>
    <w:rsid w:val="035F6345"/>
    <w:rsid w:val="036F0609"/>
    <w:rsid w:val="038012CE"/>
    <w:rsid w:val="03EC63FF"/>
    <w:rsid w:val="04AF39C2"/>
    <w:rsid w:val="04D95C99"/>
    <w:rsid w:val="04DA2804"/>
    <w:rsid w:val="05056C32"/>
    <w:rsid w:val="050C7E9C"/>
    <w:rsid w:val="050D042B"/>
    <w:rsid w:val="05102CDE"/>
    <w:rsid w:val="05393890"/>
    <w:rsid w:val="055B0314"/>
    <w:rsid w:val="055B66F6"/>
    <w:rsid w:val="055E085F"/>
    <w:rsid w:val="056C5769"/>
    <w:rsid w:val="05793EF1"/>
    <w:rsid w:val="05B5126E"/>
    <w:rsid w:val="0600145B"/>
    <w:rsid w:val="06041631"/>
    <w:rsid w:val="0610621B"/>
    <w:rsid w:val="062C692E"/>
    <w:rsid w:val="066F12AC"/>
    <w:rsid w:val="06A23CB0"/>
    <w:rsid w:val="074148BC"/>
    <w:rsid w:val="07503873"/>
    <w:rsid w:val="07616D2B"/>
    <w:rsid w:val="07703D2F"/>
    <w:rsid w:val="07857D1F"/>
    <w:rsid w:val="07A0301B"/>
    <w:rsid w:val="07E91F9A"/>
    <w:rsid w:val="07F86735"/>
    <w:rsid w:val="082C76F8"/>
    <w:rsid w:val="08683CDA"/>
    <w:rsid w:val="08CD12C7"/>
    <w:rsid w:val="09047D11"/>
    <w:rsid w:val="097F7A7F"/>
    <w:rsid w:val="09B155B4"/>
    <w:rsid w:val="09E46A49"/>
    <w:rsid w:val="0A0749B5"/>
    <w:rsid w:val="0A2841C5"/>
    <w:rsid w:val="0A2D48BF"/>
    <w:rsid w:val="0A8D68A3"/>
    <w:rsid w:val="0ABA78B9"/>
    <w:rsid w:val="0AF90B10"/>
    <w:rsid w:val="0B227DC0"/>
    <w:rsid w:val="0BD124F8"/>
    <w:rsid w:val="0BE74F15"/>
    <w:rsid w:val="0C052F39"/>
    <w:rsid w:val="0C22507E"/>
    <w:rsid w:val="0C2D157B"/>
    <w:rsid w:val="0C33039E"/>
    <w:rsid w:val="0C547E93"/>
    <w:rsid w:val="0C5C168D"/>
    <w:rsid w:val="0CC108F6"/>
    <w:rsid w:val="0CEA6B3D"/>
    <w:rsid w:val="0D031E58"/>
    <w:rsid w:val="0D124C9D"/>
    <w:rsid w:val="0DA7410A"/>
    <w:rsid w:val="0DC64554"/>
    <w:rsid w:val="0DCD2168"/>
    <w:rsid w:val="0DDC55E4"/>
    <w:rsid w:val="0E374DC2"/>
    <w:rsid w:val="0EC94F48"/>
    <w:rsid w:val="0F55715B"/>
    <w:rsid w:val="0F66535D"/>
    <w:rsid w:val="0F9C07E4"/>
    <w:rsid w:val="0FD9610F"/>
    <w:rsid w:val="100706CE"/>
    <w:rsid w:val="106D43EE"/>
    <w:rsid w:val="10DD7F3C"/>
    <w:rsid w:val="110E27B9"/>
    <w:rsid w:val="111300D3"/>
    <w:rsid w:val="11206940"/>
    <w:rsid w:val="11211C78"/>
    <w:rsid w:val="11A92B07"/>
    <w:rsid w:val="12013E3F"/>
    <w:rsid w:val="124A3CE9"/>
    <w:rsid w:val="12687916"/>
    <w:rsid w:val="126D118C"/>
    <w:rsid w:val="126D4E72"/>
    <w:rsid w:val="12B368BB"/>
    <w:rsid w:val="12B8525D"/>
    <w:rsid w:val="13113D52"/>
    <w:rsid w:val="138701F0"/>
    <w:rsid w:val="139C67BB"/>
    <w:rsid w:val="13C156F5"/>
    <w:rsid w:val="13EE573C"/>
    <w:rsid w:val="13FC2057"/>
    <w:rsid w:val="14732F9B"/>
    <w:rsid w:val="147C5356"/>
    <w:rsid w:val="14B32D4F"/>
    <w:rsid w:val="14E414C7"/>
    <w:rsid w:val="152650F1"/>
    <w:rsid w:val="15663828"/>
    <w:rsid w:val="15CF1F5B"/>
    <w:rsid w:val="162D57EF"/>
    <w:rsid w:val="16A05B2E"/>
    <w:rsid w:val="16F02D5C"/>
    <w:rsid w:val="1728269E"/>
    <w:rsid w:val="17390A24"/>
    <w:rsid w:val="17C859A3"/>
    <w:rsid w:val="18AA4448"/>
    <w:rsid w:val="18C871B7"/>
    <w:rsid w:val="18E629FF"/>
    <w:rsid w:val="19391469"/>
    <w:rsid w:val="194C364D"/>
    <w:rsid w:val="198048E1"/>
    <w:rsid w:val="1A0176E3"/>
    <w:rsid w:val="1A6E40CC"/>
    <w:rsid w:val="1A9205E4"/>
    <w:rsid w:val="1A943933"/>
    <w:rsid w:val="1AA85E12"/>
    <w:rsid w:val="1AFC50D3"/>
    <w:rsid w:val="1B245BE1"/>
    <w:rsid w:val="1B29770E"/>
    <w:rsid w:val="1B5C41F3"/>
    <w:rsid w:val="1C4C3AFB"/>
    <w:rsid w:val="1CDA303E"/>
    <w:rsid w:val="1D1C09B2"/>
    <w:rsid w:val="1D6A29AD"/>
    <w:rsid w:val="1D831296"/>
    <w:rsid w:val="1DCF3C77"/>
    <w:rsid w:val="1DE32317"/>
    <w:rsid w:val="1E3821EF"/>
    <w:rsid w:val="1E4C0C4C"/>
    <w:rsid w:val="1E4C6AC4"/>
    <w:rsid w:val="1E537BB7"/>
    <w:rsid w:val="1E627A78"/>
    <w:rsid w:val="1EB33EEA"/>
    <w:rsid w:val="1F354C71"/>
    <w:rsid w:val="1F612D89"/>
    <w:rsid w:val="1F94485C"/>
    <w:rsid w:val="1F9B1C69"/>
    <w:rsid w:val="20311D10"/>
    <w:rsid w:val="20546E99"/>
    <w:rsid w:val="20867481"/>
    <w:rsid w:val="2092477F"/>
    <w:rsid w:val="20D677C0"/>
    <w:rsid w:val="20FB599A"/>
    <w:rsid w:val="216D7D0B"/>
    <w:rsid w:val="21945AEE"/>
    <w:rsid w:val="21D54BC1"/>
    <w:rsid w:val="21F256EB"/>
    <w:rsid w:val="22066B77"/>
    <w:rsid w:val="22193302"/>
    <w:rsid w:val="227B549E"/>
    <w:rsid w:val="22834F2F"/>
    <w:rsid w:val="228C7DBD"/>
    <w:rsid w:val="22C203EF"/>
    <w:rsid w:val="22C62F4D"/>
    <w:rsid w:val="22E6394F"/>
    <w:rsid w:val="22EE0D5B"/>
    <w:rsid w:val="231C07CF"/>
    <w:rsid w:val="23256CB7"/>
    <w:rsid w:val="23ED4655"/>
    <w:rsid w:val="241904B9"/>
    <w:rsid w:val="2428669F"/>
    <w:rsid w:val="24527F0E"/>
    <w:rsid w:val="2469224B"/>
    <w:rsid w:val="247F45C9"/>
    <w:rsid w:val="249A775F"/>
    <w:rsid w:val="24E75661"/>
    <w:rsid w:val="252A6107"/>
    <w:rsid w:val="2559428A"/>
    <w:rsid w:val="2577004A"/>
    <w:rsid w:val="25D84B5C"/>
    <w:rsid w:val="25DB04AA"/>
    <w:rsid w:val="264372D4"/>
    <w:rsid w:val="2661429C"/>
    <w:rsid w:val="267008C4"/>
    <w:rsid w:val="26A3433D"/>
    <w:rsid w:val="26FE25FE"/>
    <w:rsid w:val="271C2980"/>
    <w:rsid w:val="277773B2"/>
    <w:rsid w:val="27FF5E1C"/>
    <w:rsid w:val="28035FBA"/>
    <w:rsid w:val="283616EF"/>
    <w:rsid w:val="28366960"/>
    <w:rsid w:val="28680563"/>
    <w:rsid w:val="28A264B7"/>
    <w:rsid w:val="28BA773E"/>
    <w:rsid w:val="28ED67B2"/>
    <w:rsid w:val="28ED6C71"/>
    <w:rsid w:val="28F052A0"/>
    <w:rsid w:val="292E55D7"/>
    <w:rsid w:val="29524F49"/>
    <w:rsid w:val="297D2BE6"/>
    <w:rsid w:val="298E0913"/>
    <w:rsid w:val="2A174F9B"/>
    <w:rsid w:val="2A324A20"/>
    <w:rsid w:val="2A8E72FA"/>
    <w:rsid w:val="2A93222D"/>
    <w:rsid w:val="2A9A1DB0"/>
    <w:rsid w:val="2B032412"/>
    <w:rsid w:val="2BA801F9"/>
    <w:rsid w:val="2C44264B"/>
    <w:rsid w:val="2C6B57F0"/>
    <w:rsid w:val="2CA12446"/>
    <w:rsid w:val="2CB05AD1"/>
    <w:rsid w:val="2D9D13DE"/>
    <w:rsid w:val="2E647F2D"/>
    <w:rsid w:val="2E8D23D3"/>
    <w:rsid w:val="2EB156AA"/>
    <w:rsid w:val="2F7703AE"/>
    <w:rsid w:val="2F880E4C"/>
    <w:rsid w:val="2FF03DD8"/>
    <w:rsid w:val="30196201"/>
    <w:rsid w:val="303F07B7"/>
    <w:rsid w:val="30736266"/>
    <w:rsid w:val="30970224"/>
    <w:rsid w:val="3102455F"/>
    <w:rsid w:val="313E3AD9"/>
    <w:rsid w:val="3197466D"/>
    <w:rsid w:val="31C74550"/>
    <w:rsid w:val="322A6BDA"/>
    <w:rsid w:val="323B4FD1"/>
    <w:rsid w:val="32676917"/>
    <w:rsid w:val="32F27CB0"/>
    <w:rsid w:val="332F4289"/>
    <w:rsid w:val="33510BFA"/>
    <w:rsid w:val="336C7166"/>
    <w:rsid w:val="33AA18D0"/>
    <w:rsid w:val="33B035D3"/>
    <w:rsid w:val="33B11D60"/>
    <w:rsid w:val="33D3124E"/>
    <w:rsid w:val="34231BC2"/>
    <w:rsid w:val="34576B74"/>
    <w:rsid w:val="34887617"/>
    <w:rsid w:val="35134072"/>
    <w:rsid w:val="35342E46"/>
    <w:rsid w:val="35A04E3E"/>
    <w:rsid w:val="35B35FB1"/>
    <w:rsid w:val="35C673C5"/>
    <w:rsid w:val="35D91C1F"/>
    <w:rsid w:val="35F12B13"/>
    <w:rsid w:val="3622425C"/>
    <w:rsid w:val="36563E75"/>
    <w:rsid w:val="36576D5F"/>
    <w:rsid w:val="36612E47"/>
    <w:rsid w:val="36737EBE"/>
    <w:rsid w:val="3675543C"/>
    <w:rsid w:val="37034BCF"/>
    <w:rsid w:val="37402912"/>
    <w:rsid w:val="379C734C"/>
    <w:rsid w:val="37FC066A"/>
    <w:rsid w:val="381B569C"/>
    <w:rsid w:val="384634B9"/>
    <w:rsid w:val="38AA3C78"/>
    <w:rsid w:val="38C1331D"/>
    <w:rsid w:val="390E5EBF"/>
    <w:rsid w:val="39202096"/>
    <w:rsid w:val="39846B39"/>
    <w:rsid w:val="398E19F0"/>
    <w:rsid w:val="39B83504"/>
    <w:rsid w:val="3A3E4582"/>
    <w:rsid w:val="3A6B5557"/>
    <w:rsid w:val="3A93394C"/>
    <w:rsid w:val="3AA54C74"/>
    <w:rsid w:val="3AAF284F"/>
    <w:rsid w:val="3AC1623A"/>
    <w:rsid w:val="3AC8077D"/>
    <w:rsid w:val="3B667382"/>
    <w:rsid w:val="3C9E707E"/>
    <w:rsid w:val="3CA36E5C"/>
    <w:rsid w:val="3CFE153A"/>
    <w:rsid w:val="3D1178D9"/>
    <w:rsid w:val="3D13123F"/>
    <w:rsid w:val="3D3E79D2"/>
    <w:rsid w:val="3D957616"/>
    <w:rsid w:val="3DA86637"/>
    <w:rsid w:val="3E0571DC"/>
    <w:rsid w:val="3E1673FC"/>
    <w:rsid w:val="3E1D0952"/>
    <w:rsid w:val="3E951C62"/>
    <w:rsid w:val="3EAA7E78"/>
    <w:rsid w:val="406A6750"/>
    <w:rsid w:val="408A1E32"/>
    <w:rsid w:val="40C32C93"/>
    <w:rsid w:val="40D31FE7"/>
    <w:rsid w:val="40D847C7"/>
    <w:rsid w:val="40EF253E"/>
    <w:rsid w:val="40FD4BFE"/>
    <w:rsid w:val="41046D58"/>
    <w:rsid w:val="41056A7C"/>
    <w:rsid w:val="4116684F"/>
    <w:rsid w:val="4117232C"/>
    <w:rsid w:val="413A36FE"/>
    <w:rsid w:val="417D0085"/>
    <w:rsid w:val="419F3CB9"/>
    <w:rsid w:val="41A171BC"/>
    <w:rsid w:val="41AB5E59"/>
    <w:rsid w:val="426706E5"/>
    <w:rsid w:val="4278084D"/>
    <w:rsid w:val="429A13C7"/>
    <w:rsid w:val="42A860EE"/>
    <w:rsid w:val="42B65E6E"/>
    <w:rsid w:val="4322784E"/>
    <w:rsid w:val="435B39F9"/>
    <w:rsid w:val="43BD4175"/>
    <w:rsid w:val="43C845C3"/>
    <w:rsid w:val="43CD7111"/>
    <w:rsid w:val="445F1D43"/>
    <w:rsid w:val="44755B02"/>
    <w:rsid w:val="449B73F7"/>
    <w:rsid w:val="44CA7669"/>
    <w:rsid w:val="44CE65ED"/>
    <w:rsid w:val="44E91C4B"/>
    <w:rsid w:val="452751D7"/>
    <w:rsid w:val="45790E33"/>
    <w:rsid w:val="45833243"/>
    <w:rsid w:val="458F168C"/>
    <w:rsid w:val="45C76CD8"/>
    <w:rsid w:val="45CE42DB"/>
    <w:rsid w:val="46024594"/>
    <w:rsid w:val="46562673"/>
    <w:rsid w:val="465A48FC"/>
    <w:rsid w:val="465E142F"/>
    <w:rsid w:val="469D734C"/>
    <w:rsid w:val="46A21160"/>
    <w:rsid w:val="46B641EE"/>
    <w:rsid w:val="46E576CE"/>
    <w:rsid w:val="47FE58CB"/>
    <w:rsid w:val="484916ED"/>
    <w:rsid w:val="49271F07"/>
    <w:rsid w:val="49316F70"/>
    <w:rsid w:val="493E38CC"/>
    <w:rsid w:val="49A629D2"/>
    <w:rsid w:val="49D55CBF"/>
    <w:rsid w:val="49EA5564"/>
    <w:rsid w:val="4A2E2FF7"/>
    <w:rsid w:val="4A7111AE"/>
    <w:rsid w:val="4A8F4B67"/>
    <w:rsid w:val="4AA1340F"/>
    <w:rsid w:val="4ACA50C0"/>
    <w:rsid w:val="4AF41C7A"/>
    <w:rsid w:val="4B0E08CB"/>
    <w:rsid w:val="4B694BAE"/>
    <w:rsid w:val="4B7A5F9F"/>
    <w:rsid w:val="4B874579"/>
    <w:rsid w:val="4BDF7B8B"/>
    <w:rsid w:val="4C1B1096"/>
    <w:rsid w:val="4C416153"/>
    <w:rsid w:val="4C4904B0"/>
    <w:rsid w:val="4C6E02E7"/>
    <w:rsid w:val="4CA12AC0"/>
    <w:rsid w:val="4CDF7B86"/>
    <w:rsid w:val="4CEC1053"/>
    <w:rsid w:val="4D29163E"/>
    <w:rsid w:val="4D3529D2"/>
    <w:rsid w:val="4D7D7D31"/>
    <w:rsid w:val="4DB36E96"/>
    <w:rsid w:val="4DC34F12"/>
    <w:rsid w:val="4DCF06E6"/>
    <w:rsid w:val="4DE230D4"/>
    <w:rsid w:val="4E0A4B19"/>
    <w:rsid w:val="4E122007"/>
    <w:rsid w:val="4E481A72"/>
    <w:rsid w:val="4E69558B"/>
    <w:rsid w:val="4ED82367"/>
    <w:rsid w:val="4EE649A3"/>
    <w:rsid w:val="4F150CF1"/>
    <w:rsid w:val="4F214E7F"/>
    <w:rsid w:val="4F333C89"/>
    <w:rsid w:val="4F473290"/>
    <w:rsid w:val="4FB27ACC"/>
    <w:rsid w:val="501A61F6"/>
    <w:rsid w:val="50216169"/>
    <w:rsid w:val="50913CF0"/>
    <w:rsid w:val="50C421FF"/>
    <w:rsid w:val="50E96661"/>
    <w:rsid w:val="520862D4"/>
    <w:rsid w:val="5226100A"/>
    <w:rsid w:val="522C35D5"/>
    <w:rsid w:val="526D6A4B"/>
    <w:rsid w:val="52784FDF"/>
    <w:rsid w:val="52DC6B8A"/>
    <w:rsid w:val="52FC0130"/>
    <w:rsid w:val="532E5504"/>
    <w:rsid w:val="535E532B"/>
    <w:rsid w:val="53757A2E"/>
    <w:rsid w:val="53D163CC"/>
    <w:rsid w:val="53FC0377"/>
    <w:rsid w:val="54424CE4"/>
    <w:rsid w:val="54720CB8"/>
    <w:rsid w:val="548C2B2D"/>
    <w:rsid w:val="54B30E83"/>
    <w:rsid w:val="54FB04F4"/>
    <w:rsid w:val="55272E6B"/>
    <w:rsid w:val="552D5398"/>
    <w:rsid w:val="554A267C"/>
    <w:rsid w:val="55646892"/>
    <w:rsid w:val="557F6DB5"/>
    <w:rsid w:val="559B1181"/>
    <w:rsid w:val="55CE07BA"/>
    <w:rsid w:val="55E34167"/>
    <w:rsid w:val="55EC1E85"/>
    <w:rsid w:val="561C4BD2"/>
    <w:rsid w:val="56424E12"/>
    <w:rsid w:val="567D4EED"/>
    <w:rsid w:val="56B476CF"/>
    <w:rsid w:val="56EE5521"/>
    <w:rsid w:val="56FB45D8"/>
    <w:rsid w:val="57024A52"/>
    <w:rsid w:val="570C7D5E"/>
    <w:rsid w:val="57A722D7"/>
    <w:rsid w:val="57EF268E"/>
    <w:rsid w:val="57FE314A"/>
    <w:rsid w:val="58103C38"/>
    <w:rsid w:val="5819582E"/>
    <w:rsid w:val="582151B1"/>
    <w:rsid w:val="58917A0B"/>
    <w:rsid w:val="58E9513D"/>
    <w:rsid w:val="59870472"/>
    <w:rsid w:val="59961079"/>
    <w:rsid w:val="5A5B7BC9"/>
    <w:rsid w:val="5A950AB4"/>
    <w:rsid w:val="5AC86C0F"/>
    <w:rsid w:val="5AEA6650"/>
    <w:rsid w:val="5AF27EB2"/>
    <w:rsid w:val="5AF30605"/>
    <w:rsid w:val="5B2335EC"/>
    <w:rsid w:val="5B301131"/>
    <w:rsid w:val="5B4C2D4E"/>
    <w:rsid w:val="5B6D428C"/>
    <w:rsid w:val="5BB25CA7"/>
    <w:rsid w:val="5BCF210D"/>
    <w:rsid w:val="5C183FBD"/>
    <w:rsid w:val="5CB87D6C"/>
    <w:rsid w:val="5CCC024F"/>
    <w:rsid w:val="5CE110EE"/>
    <w:rsid w:val="5CEE6205"/>
    <w:rsid w:val="5D1365A7"/>
    <w:rsid w:val="5D192AB0"/>
    <w:rsid w:val="5D2E78CD"/>
    <w:rsid w:val="5D3C218A"/>
    <w:rsid w:val="5D534B53"/>
    <w:rsid w:val="5D6D249A"/>
    <w:rsid w:val="5E13348D"/>
    <w:rsid w:val="5E384614"/>
    <w:rsid w:val="5E4428C3"/>
    <w:rsid w:val="5E645A9B"/>
    <w:rsid w:val="5E6F6B77"/>
    <w:rsid w:val="5E7D1F49"/>
    <w:rsid w:val="5E7F55FA"/>
    <w:rsid w:val="5EB1729B"/>
    <w:rsid w:val="5ED00919"/>
    <w:rsid w:val="5EEC0249"/>
    <w:rsid w:val="5EEE5E46"/>
    <w:rsid w:val="5F6E3C3C"/>
    <w:rsid w:val="5FA52946"/>
    <w:rsid w:val="5FC14696"/>
    <w:rsid w:val="5FC67262"/>
    <w:rsid w:val="5FF067F2"/>
    <w:rsid w:val="60015075"/>
    <w:rsid w:val="60603A0C"/>
    <w:rsid w:val="60A05983"/>
    <w:rsid w:val="60C53352"/>
    <w:rsid w:val="612E684E"/>
    <w:rsid w:val="61B06A72"/>
    <w:rsid w:val="61DD1D77"/>
    <w:rsid w:val="61E97C32"/>
    <w:rsid w:val="620D1467"/>
    <w:rsid w:val="625C58C6"/>
    <w:rsid w:val="629F3EDD"/>
    <w:rsid w:val="62BE4836"/>
    <w:rsid w:val="62E977D4"/>
    <w:rsid w:val="637A12C2"/>
    <w:rsid w:val="63F7410E"/>
    <w:rsid w:val="645E2BB9"/>
    <w:rsid w:val="64624491"/>
    <w:rsid w:val="64945292"/>
    <w:rsid w:val="64A7275A"/>
    <w:rsid w:val="64AC0F89"/>
    <w:rsid w:val="64D6157E"/>
    <w:rsid w:val="64FC2068"/>
    <w:rsid w:val="651975E8"/>
    <w:rsid w:val="653332DA"/>
    <w:rsid w:val="65387421"/>
    <w:rsid w:val="654059BD"/>
    <w:rsid w:val="658E4B3C"/>
    <w:rsid w:val="65E16598"/>
    <w:rsid w:val="65EC3D12"/>
    <w:rsid w:val="65F262E6"/>
    <w:rsid w:val="66003536"/>
    <w:rsid w:val="66255886"/>
    <w:rsid w:val="66964D74"/>
    <w:rsid w:val="66A4531A"/>
    <w:rsid w:val="66B9705B"/>
    <w:rsid w:val="66F97F7F"/>
    <w:rsid w:val="6721372C"/>
    <w:rsid w:val="67CC7796"/>
    <w:rsid w:val="67D5684E"/>
    <w:rsid w:val="68883C29"/>
    <w:rsid w:val="68CD6916"/>
    <w:rsid w:val="69196036"/>
    <w:rsid w:val="691C1D5D"/>
    <w:rsid w:val="691D5EF5"/>
    <w:rsid w:val="692C4A1B"/>
    <w:rsid w:val="69C912EE"/>
    <w:rsid w:val="69CC49E6"/>
    <w:rsid w:val="69F11281"/>
    <w:rsid w:val="6A140B08"/>
    <w:rsid w:val="6A857679"/>
    <w:rsid w:val="6AE43D6D"/>
    <w:rsid w:val="6B451ADC"/>
    <w:rsid w:val="6B4E5791"/>
    <w:rsid w:val="6B6A0021"/>
    <w:rsid w:val="6C393366"/>
    <w:rsid w:val="6C4B441F"/>
    <w:rsid w:val="6C521745"/>
    <w:rsid w:val="6C612657"/>
    <w:rsid w:val="6CDA3D2E"/>
    <w:rsid w:val="6CFD6373"/>
    <w:rsid w:val="6D275220"/>
    <w:rsid w:val="6D286525"/>
    <w:rsid w:val="6D48513C"/>
    <w:rsid w:val="6D4F7FA3"/>
    <w:rsid w:val="6D506449"/>
    <w:rsid w:val="6D7917A7"/>
    <w:rsid w:val="6D8C2B97"/>
    <w:rsid w:val="6DA6752E"/>
    <w:rsid w:val="6DC569D3"/>
    <w:rsid w:val="6DCA3BB8"/>
    <w:rsid w:val="6DE71136"/>
    <w:rsid w:val="6E2C4ACE"/>
    <w:rsid w:val="6E38504D"/>
    <w:rsid w:val="6E7B47DB"/>
    <w:rsid w:val="6E930FFA"/>
    <w:rsid w:val="6E9B2D3D"/>
    <w:rsid w:val="6EB611AF"/>
    <w:rsid w:val="6EC071A9"/>
    <w:rsid w:val="6F173C9B"/>
    <w:rsid w:val="6F2140E1"/>
    <w:rsid w:val="6FF63C97"/>
    <w:rsid w:val="6FFB1846"/>
    <w:rsid w:val="6FFD7788"/>
    <w:rsid w:val="700D3C59"/>
    <w:rsid w:val="70643C03"/>
    <w:rsid w:val="706806CA"/>
    <w:rsid w:val="708C3333"/>
    <w:rsid w:val="70B12FFC"/>
    <w:rsid w:val="70B679FB"/>
    <w:rsid w:val="70DD1A5F"/>
    <w:rsid w:val="71076500"/>
    <w:rsid w:val="715B5192"/>
    <w:rsid w:val="719D69F4"/>
    <w:rsid w:val="71B62725"/>
    <w:rsid w:val="723658ED"/>
    <w:rsid w:val="723E7513"/>
    <w:rsid w:val="724B4ECB"/>
    <w:rsid w:val="724F4299"/>
    <w:rsid w:val="728905CB"/>
    <w:rsid w:val="72BC3989"/>
    <w:rsid w:val="72C21549"/>
    <w:rsid w:val="730A31AE"/>
    <w:rsid w:val="73811E6D"/>
    <w:rsid w:val="73976792"/>
    <w:rsid w:val="739E1901"/>
    <w:rsid w:val="73AA3251"/>
    <w:rsid w:val="73AE45B6"/>
    <w:rsid w:val="73B0019C"/>
    <w:rsid w:val="73C130D5"/>
    <w:rsid w:val="73DB09F5"/>
    <w:rsid w:val="7424513C"/>
    <w:rsid w:val="74851C6A"/>
    <w:rsid w:val="75462DAF"/>
    <w:rsid w:val="75980004"/>
    <w:rsid w:val="76442B95"/>
    <w:rsid w:val="765972B7"/>
    <w:rsid w:val="76B05C70"/>
    <w:rsid w:val="770B3534"/>
    <w:rsid w:val="77966CBE"/>
    <w:rsid w:val="77C80792"/>
    <w:rsid w:val="78295334"/>
    <w:rsid w:val="782E25A2"/>
    <w:rsid w:val="78386A97"/>
    <w:rsid w:val="783A433D"/>
    <w:rsid w:val="78922B50"/>
    <w:rsid w:val="78944651"/>
    <w:rsid w:val="78C04E74"/>
    <w:rsid w:val="79A2762D"/>
    <w:rsid w:val="79BB4461"/>
    <w:rsid w:val="79FE76BA"/>
    <w:rsid w:val="7A7B1000"/>
    <w:rsid w:val="7A8772A3"/>
    <w:rsid w:val="7AC06F0E"/>
    <w:rsid w:val="7B7D0330"/>
    <w:rsid w:val="7B9D55F0"/>
    <w:rsid w:val="7C291FC0"/>
    <w:rsid w:val="7C573B71"/>
    <w:rsid w:val="7C64743A"/>
    <w:rsid w:val="7C941131"/>
    <w:rsid w:val="7CDB7866"/>
    <w:rsid w:val="7CDC41CA"/>
    <w:rsid w:val="7D0C0035"/>
    <w:rsid w:val="7D1A4DCC"/>
    <w:rsid w:val="7D6F5B78"/>
    <w:rsid w:val="7E5106CC"/>
    <w:rsid w:val="7EAB425E"/>
    <w:rsid w:val="7EC37AF9"/>
    <w:rsid w:val="7F0710F4"/>
    <w:rsid w:val="7F0F1D84"/>
    <w:rsid w:val="7F39022A"/>
    <w:rsid w:val="7F9E12C8"/>
    <w:rsid w:val="7FA47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20"/>
    </w:pPr>
    <w:rPr>
      <w:rFonts w:ascii="Times New Roman" w:hAnsi="Times New Roman" w:eastAsia="MS Mincho" w:cs="Times New Roman"/>
      <w:sz w:val="22"/>
      <w:szCs w:val="24"/>
      <w:lang w:val="en-US" w:eastAsia="ja-JP" w:bidi="ar-SA"/>
    </w:rPr>
  </w:style>
  <w:style w:type="paragraph" w:styleId="6">
    <w:name w:val="heading 1"/>
    <w:basedOn w:val="1"/>
    <w:next w:val="1"/>
    <w:link w:val="30"/>
    <w:qFormat/>
    <w:uiPriority w:val="0"/>
    <w:pPr>
      <w:keepNext/>
      <w:numPr>
        <w:ilvl w:val="0"/>
        <w:numId w:val="1"/>
      </w:numPr>
      <w:pBdr>
        <w:top w:val="single" w:color="auto" w:sz="12" w:space="3"/>
      </w:pBdr>
      <w:spacing w:before="360" w:after="180"/>
      <w:outlineLvl w:val="0"/>
    </w:pPr>
    <w:rPr>
      <w:rFonts w:ascii="Arial" w:hAnsi="Arial" w:cs="Arial"/>
      <w:bCs/>
      <w:sz w:val="36"/>
      <w:szCs w:val="32"/>
    </w:rPr>
  </w:style>
  <w:style w:type="paragraph" w:styleId="7">
    <w:name w:val="heading 2"/>
    <w:basedOn w:val="6"/>
    <w:next w:val="1"/>
    <w:link w:val="31"/>
    <w:qFormat/>
    <w:uiPriority w:val="0"/>
    <w:pPr>
      <w:numPr>
        <w:ilvl w:val="1"/>
      </w:numPr>
      <w:pBdr>
        <w:top w:val="none" w:color="auto" w:sz="0" w:space="0"/>
      </w:pBdr>
      <w:spacing w:before="180"/>
      <w:outlineLvl w:val="1"/>
    </w:pPr>
    <w:rPr>
      <w:bCs w:val="0"/>
      <w:iCs/>
      <w:sz w:val="32"/>
      <w:szCs w:val="28"/>
    </w:rPr>
  </w:style>
  <w:style w:type="paragraph" w:styleId="8">
    <w:name w:val="heading 3"/>
    <w:basedOn w:val="7"/>
    <w:next w:val="1"/>
    <w:link w:val="32"/>
    <w:qFormat/>
    <w:uiPriority w:val="0"/>
    <w:pPr>
      <w:numPr>
        <w:ilvl w:val="2"/>
      </w:numPr>
      <w:tabs>
        <w:tab w:val="left" w:pos="720"/>
      </w:tabs>
      <w:spacing w:before="120" w:after="60"/>
      <w:ind w:left="720"/>
      <w:outlineLvl w:val="2"/>
    </w:pPr>
    <w:rPr>
      <w:bCs/>
      <w:sz w:val="28"/>
      <w:szCs w:val="26"/>
    </w:rPr>
  </w:style>
  <w:style w:type="paragraph" w:styleId="9">
    <w:name w:val="heading 4"/>
    <w:basedOn w:val="8"/>
    <w:next w:val="1"/>
    <w:link w:val="33"/>
    <w:qFormat/>
    <w:uiPriority w:val="0"/>
    <w:pPr>
      <w:numPr>
        <w:ilvl w:val="3"/>
      </w:numPr>
      <w:spacing w:before="240"/>
      <w:outlineLvl w:val="3"/>
    </w:pPr>
    <w:rPr>
      <w:bCs w:val="0"/>
      <w:sz w:val="24"/>
      <w:szCs w:val="28"/>
    </w:rPr>
  </w:style>
  <w:style w:type="paragraph" w:styleId="10">
    <w:name w:val="heading 5"/>
    <w:basedOn w:val="9"/>
    <w:next w:val="1"/>
    <w:link w:val="34"/>
    <w:qFormat/>
    <w:uiPriority w:val="0"/>
    <w:pPr>
      <w:numPr>
        <w:ilvl w:val="4"/>
      </w:numPr>
      <w:outlineLvl w:val="4"/>
    </w:pPr>
    <w:rPr>
      <w:bCs/>
      <w:iCs w:val="0"/>
      <w:sz w:val="22"/>
      <w:szCs w:val="26"/>
    </w:rPr>
  </w:style>
  <w:style w:type="paragraph" w:styleId="11">
    <w:name w:val="heading 6"/>
    <w:basedOn w:val="1"/>
    <w:next w:val="1"/>
    <w:link w:val="35"/>
    <w:qFormat/>
    <w:uiPriority w:val="0"/>
    <w:pPr>
      <w:numPr>
        <w:ilvl w:val="5"/>
        <w:numId w:val="1"/>
      </w:numPr>
      <w:spacing w:before="240" w:after="60"/>
      <w:outlineLvl w:val="5"/>
    </w:pPr>
    <w:rPr>
      <w:rFonts w:ascii="Arial" w:hAnsi="Arial"/>
      <w:bCs/>
      <w:szCs w:val="22"/>
    </w:rPr>
  </w:style>
  <w:style w:type="paragraph" w:styleId="12">
    <w:name w:val="heading 7"/>
    <w:basedOn w:val="1"/>
    <w:next w:val="1"/>
    <w:link w:val="36"/>
    <w:qFormat/>
    <w:uiPriority w:val="0"/>
    <w:pPr>
      <w:numPr>
        <w:ilvl w:val="6"/>
        <w:numId w:val="1"/>
      </w:numPr>
      <w:spacing w:before="240" w:after="60"/>
      <w:outlineLvl w:val="6"/>
    </w:pPr>
    <w:rPr>
      <w:rFonts w:ascii="Arial" w:hAnsi="Arial"/>
    </w:rPr>
  </w:style>
  <w:style w:type="paragraph" w:styleId="13">
    <w:name w:val="heading 8"/>
    <w:basedOn w:val="1"/>
    <w:next w:val="1"/>
    <w:link w:val="37"/>
    <w:qFormat/>
    <w:uiPriority w:val="0"/>
    <w:pPr>
      <w:numPr>
        <w:ilvl w:val="7"/>
        <w:numId w:val="1"/>
      </w:numPr>
      <w:spacing w:before="240" w:after="60"/>
      <w:outlineLvl w:val="7"/>
    </w:pPr>
    <w:rPr>
      <w:rFonts w:ascii="Arial" w:hAnsi="Arial"/>
      <w:iCs/>
    </w:rPr>
  </w:style>
  <w:style w:type="paragraph" w:styleId="14">
    <w:name w:val="heading 9"/>
    <w:basedOn w:val="1"/>
    <w:next w:val="1"/>
    <w:link w:val="38"/>
    <w:qFormat/>
    <w:uiPriority w:val="0"/>
    <w:pPr>
      <w:numPr>
        <w:ilvl w:val="8"/>
        <w:numId w:val="1"/>
      </w:numPr>
      <w:spacing w:before="240" w:after="60"/>
      <w:outlineLvl w:val="8"/>
    </w:pPr>
    <w:rPr>
      <w:rFonts w:ascii="Arial" w:hAnsi="Arial" w:cs="Arial"/>
      <w:szCs w:val="2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2">
    <w:name w:val="B3"/>
    <w:basedOn w:val="3"/>
    <w:qFormat/>
    <w:uiPriority w:val="0"/>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qFormat/>
    <w:uiPriority w:val="0"/>
    <w:pPr>
      <w:ind w:left="568" w:hanging="284"/>
    </w:pPr>
  </w:style>
  <w:style w:type="paragraph" w:styleId="15">
    <w:name w:val="annotation text"/>
    <w:basedOn w:val="1"/>
    <w:link w:val="50"/>
    <w:unhideWhenUsed/>
    <w:qFormat/>
    <w:uiPriority w:val="0"/>
  </w:style>
  <w:style w:type="paragraph" w:styleId="16">
    <w:name w:val="Body Text"/>
    <w:basedOn w:val="1"/>
    <w:link w:val="47"/>
    <w:unhideWhenUsed/>
    <w:qFormat/>
    <w:uiPriority w:val="99"/>
  </w:style>
  <w:style w:type="paragraph" w:styleId="17">
    <w:name w:val="Balloon Text"/>
    <w:basedOn w:val="1"/>
    <w:link w:val="52"/>
    <w:semiHidden/>
    <w:unhideWhenUsed/>
    <w:qFormat/>
    <w:uiPriority w:val="99"/>
    <w:pPr>
      <w:spacing w:after="0"/>
    </w:pPr>
    <w:rPr>
      <w:sz w:val="18"/>
      <w:szCs w:val="18"/>
    </w:rPr>
  </w:style>
  <w:style w:type="paragraph" w:styleId="18">
    <w:name w:val="footer"/>
    <w:basedOn w:val="1"/>
    <w:link w:val="49"/>
    <w:unhideWhenUsed/>
    <w:qFormat/>
    <w:uiPriority w:val="99"/>
    <w:pPr>
      <w:tabs>
        <w:tab w:val="center" w:pos="4153"/>
        <w:tab w:val="right" w:pos="8306"/>
      </w:tabs>
      <w:snapToGrid w:val="0"/>
    </w:pPr>
    <w:rPr>
      <w:sz w:val="18"/>
      <w:szCs w:val="18"/>
    </w:rPr>
  </w:style>
  <w:style w:type="paragraph" w:styleId="19">
    <w:name w:val="header"/>
    <w:basedOn w:val="1"/>
    <w:link w:val="48"/>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Normal (Web)"/>
    <w:basedOn w:val="1"/>
    <w:semiHidden/>
    <w:unhideWhenUsed/>
    <w:qFormat/>
    <w:uiPriority w:val="99"/>
    <w:pPr>
      <w:spacing w:before="100" w:beforeAutospacing="1" w:after="100" w:afterAutospacing="1"/>
    </w:pPr>
    <w:rPr>
      <w:rFonts w:eastAsia="Times New Roman"/>
      <w:sz w:val="24"/>
      <w:lang w:eastAsia="zh-CN"/>
    </w:rPr>
  </w:style>
  <w:style w:type="paragraph" w:styleId="21">
    <w:name w:val="annotation subject"/>
    <w:basedOn w:val="15"/>
    <w:next w:val="15"/>
    <w:link w:val="51"/>
    <w:semiHidden/>
    <w:unhideWhenUsed/>
    <w:qFormat/>
    <w:uiPriority w:val="99"/>
    <w:rPr>
      <w:b/>
      <w:bCs/>
    </w:rPr>
  </w:style>
  <w:style w:type="table" w:styleId="23">
    <w:name w:val="Table Grid"/>
    <w:basedOn w:val="22"/>
    <w:qFormat/>
    <w:uiPriority w:val="0"/>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HTML Code"/>
    <w:basedOn w:val="24"/>
    <w:semiHidden/>
    <w:unhideWhenUsed/>
    <w:qFormat/>
    <w:uiPriority w:val="99"/>
    <w:rPr>
      <w:rFonts w:ascii="Courier New" w:hAnsi="Courier New" w:eastAsia="Times New Roman" w:cs="Courier New"/>
      <w:sz w:val="20"/>
      <w:szCs w:val="20"/>
    </w:rPr>
  </w:style>
  <w:style w:type="character" w:styleId="29">
    <w:name w:val="annotation reference"/>
    <w:basedOn w:val="24"/>
    <w:unhideWhenUsed/>
    <w:qFormat/>
    <w:uiPriority w:val="0"/>
    <w:rPr>
      <w:sz w:val="21"/>
      <w:szCs w:val="21"/>
    </w:rPr>
  </w:style>
  <w:style w:type="character" w:customStyle="1" w:styleId="30">
    <w:name w:val="Heading 1 Char"/>
    <w:basedOn w:val="24"/>
    <w:link w:val="6"/>
    <w:qFormat/>
    <w:uiPriority w:val="0"/>
    <w:rPr>
      <w:rFonts w:ascii="Arial" w:hAnsi="Arial" w:eastAsia="MS Mincho" w:cs="Arial"/>
      <w:bCs/>
      <w:kern w:val="0"/>
      <w:sz w:val="36"/>
      <w:szCs w:val="32"/>
      <w:lang w:eastAsia="ja-JP"/>
    </w:rPr>
  </w:style>
  <w:style w:type="character" w:customStyle="1" w:styleId="31">
    <w:name w:val="Heading 2 Char"/>
    <w:basedOn w:val="24"/>
    <w:link w:val="7"/>
    <w:qFormat/>
    <w:uiPriority w:val="0"/>
    <w:rPr>
      <w:rFonts w:ascii="Arial" w:hAnsi="Arial" w:eastAsia="MS Mincho" w:cs="Arial"/>
      <w:iCs/>
      <w:kern w:val="0"/>
      <w:sz w:val="32"/>
      <w:szCs w:val="28"/>
      <w:lang w:eastAsia="ja-JP"/>
    </w:rPr>
  </w:style>
  <w:style w:type="character" w:customStyle="1" w:styleId="32">
    <w:name w:val="Heading 3 Char"/>
    <w:basedOn w:val="24"/>
    <w:link w:val="8"/>
    <w:qFormat/>
    <w:uiPriority w:val="0"/>
    <w:rPr>
      <w:rFonts w:ascii="Arial" w:hAnsi="Arial" w:eastAsia="MS Mincho" w:cs="Arial"/>
      <w:bCs/>
      <w:iCs/>
      <w:kern w:val="0"/>
      <w:sz w:val="28"/>
      <w:szCs w:val="26"/>
      <w:lang w:eastAsia="ja-JP"/>
    </w:rPr>
  </w:style>
  <w:style w:type="character" w:customStyle="1" w:styleId="33">
    <w:name w:val="Heading 4 Char"/>
    <w:basedOn w:val="24"/>
    <w:link w:val="9"/>
    <w:qFormat/>
    <w:uiPriority w:val="0"/>
    <w:rPr>
      <w:rFonts w:ascii="Arial" w:hAnsi="Arial" w:eastAsia="MS Mincho" w:cs="Arial"/>
      <w:iCs/>
      <w:kern w:val="0"/>
      <w:sz w:val="24"/>
      <w:szCs w:val="28"/>
      <w:lang w:eastAsia="ja-JP"/>
    </w:rPr>
  </w:style>
  <w:style w:type="character" w:customStyle="1" w:styleId="34">
    <w:name w:val="Heading 5 Char"/>
    <w:basedOn w:val="24"/>
    <w:link w:val="10"/>
    <w:qFormat/>
    <w:uiPriority w:val="0"/>
    <w:rPr>
      <w:rFonts w:ascii="Arial" w:hAnsi="Arial" w:eastAsia="MS Mincho" w:cs="Arial"/>
      <w:bCs/>
      <w:kern w:val="0"/>
      <w:sz w:val="22"/>
      <w:szCs w:val="26"/>
      <w:lang w:eastAsia="ja-JP"/>
    </w:rPr>
  </w:style>
  <w:style w:type="character" w:customStyle="1" w:styleId="35">
    <w:name w:val="Heading 6 Char"/>
    <w:basedOn w:val="24"/>
    <w:link w:val="11"/>
    <w:qFormat/>
    <w:uiPriority w:val="0"/>
    <w:rPr>
      <w:rFonts w:ascii="Arial" w:hAnsi="Arial" w:eastAsia="MS Mincho" w:cs="Times New Roman"/>
      <w:bCs/>
      <w:kern w:val="0"/>
      <w:sz w:val="22"/>
      <w:lang w:eastAsia="ja-JP"/>
    </w:rPr>
  </w:style>
  <w:style w:type="character" w:customStyle="1" w:styleId="36">
    <w:name w:val="Heading 7 Char"/>
    <w:basedOn w:val="24"/>
    <w:link w:val="12"/>
    <w:qFormat/>
    <w:uiPriority w:val="0"/>
    <w:rPr>
      <w:rFonts w:ascii="Arial" w:hAnsi="Arial" w:eastAsia="MS Mincho" w:cs="Times New Roman"/>
      <w:kern w:val="0"/>
      <w:sz w:val="22"/>
      <w:szCs w:val="24"/>
      <w:lang w:eastAsia="ja-JP"/>
    </w:rPr>
  </w:style>
  <w:style w:type="character" w:customStyle="1" w:styleId="37">
    <w:name w:val="Heading 8 Char"/>
    <w:basedOn w:val="24"/>
    <w:link w:val="13"/>
    <w:qFormat/>
    <w:uiPriority w:val="0"/>
    <w:rPr>
      <w:rFonts w:ascii="Arial" w:hAnsi="Arial" w:eastAsia="MS Mincho" w:cs="Times New Roman"/>
      <w:iCs/>
      <w:kern w:val="0"/>
      <w:sz w:val="22"/>
      <w:szCs w:val="24"/>
      <w:lang w:eastAsia="ja-JP"/>
    </w:rPr>
  </w:style>
  <w:style w:type="character" w:customStyle="1" w:styleId="38">
    <w:name w:val="Heading 9 Char"/>
    <w:basedOn w:val="24"/>
    <w:link w:val="14"/>
    <w:qFormat/>
    <w:uiPriority w:val="0"/>
    <w:rPr>
      <w:rFonts w:ascii="Arial" w:hAnsi="Arial" w:eastAsia="MS Mincho" w:cs="Arial"/>
      <w:kern w:val="0"/>
      <w:sz w:val="22"/>
      <w:lang w:eastAsia="ja-JP"/>
    </w:rPr>
  </w:style>
  <w:style w:type="character" w:customStyle="1" w:styleId="39">
    <w:name w:val="List Paragraph Char"/>
    <w:link w:val="40"/>
    <w:qFormat/>
    <w:locked/>
    <w:uiPriority w:val="34"/>
    <w:rPr>
      <w:rFonts w:ascii="Calibri" w:hAnsi="Calibri" w:eastAsia="等线" w:cs="Arial"/>
    </w:rPr>
  </w:style>
  <w:style w:type="paragraph" w:styleId="40">
    <w:name w:val="List Paragraph"/>
    <w:basedOn w:val="1"/>
    <w:link w:val="39"/>
    <w:qFormat/>
    <w:uiPriority w:val="34"/>
    <w:pPr>
      <w:widowControl w:val="0"/>
      <w:spacing w:after="0" w:line="256" w:lineRule="auto"/>
      <w:ind w:left="720"/>
      <w:contextualSpacing/>
      <w:jc w:val="both"/>
    </w:pPr>
    <w:rPr>
      <w:rFonts w:ascii="Calibri" w:hAnsi="Calibri" w:eastAsia="等线" w:cs="Arial"/>
      <w:kern w:val="2"/>
      <w:sz w:val="21"/>
      <w:szCs w:val="22"/>
      <w:lang w:eastAsia="zh-CN"/>
    </w:rPr>
  </w:style>
  <w:style w:type="character" w:customStyle="1" w:styleId="41">
    <w:name w:val="B1 Char1"/>
    <w:link w:val="42"/>
    <w:qFormat/>
    <w:uiPriority w:val="0"/>
    <w:rPr>
      <w:rFonts w:ascii="Arial" w:hAnsi="Arial" w:eastAsia="Arial Unicode MS"/>
      <w:lang w:val="en-GB" w:eastAsia="en-US"/>
    </w:rPr>
  </w:style>
  <w:style w:type="paragraph" w:customStyle="1" w:styleId="42">
    <w:name w:val="B1"/>
    <w:basedOn w:val="5"/>
    <w:link w:val="41"/>
    <w:qFormat/>
    <w:uiPriority w:val="0"/>
    <w:pPr>
      <w:spacing w:after="180"/>
      <w:jc w:val="both"/>
    </w:pPr>
    <w:rPr>
      <w:rFonts w:ascii="Arial" w:hAnsi="Arial" w:eastAsia="Arial Unicode MS" w:cstheme="minorBidi"/>
      <w:kern w:val="2"/>
      <w:sz w:val="21"/>
      <w:szCs w:val="22"/>
      <w:lang w:val="en-GB" w:eastAsia="en-US"/>
    </w:rPr>
  </w:style>
  <w:style w:type="character" w:customStyle="1" w:styleId="43">
    <w:name w:val="IvD bodytext Char"/>
    <w:link w:val="44"/>
    <w:qFormat/>
    <w:uiPriority w:val="0"/>
    <w:rPr>
      <w:rFonts w:ascii="Arial" w:hAnsi="Arial" w:eastAsia="宋体"/>
      <w:spacing w:val="2"/>
      <w:lang w:val="en-GB" w:eastAsia="en-US"/>
    </w:rPr>
  </w:style>
  <w:style w:type="paragraph" w:customStyle="1" w:styleId="44">
    <w:name w:val="IvD bodytext"/>
    <w:basedOn w:val="16"/>
    <w:link w:val="43"/>
    <w:qFormat/>
    <w:uiPriority w:val="0"/>
    <w:pPr>
      <w:keepLines/>
      <w:widowControl w:val="0"/>
      <w:tabs>
        <w:tab w:val="left" w:pos="2552"/>
        <w:tab w:val="left" w:pos="3856"/>
        <w:tab w:val="left" w:pos="5216"/>
        <w:tab w:val="left" w:pos="6464"/>
        <w:tab w:val="left" w:pos="7768"/>
        <w:tab w:val="left" w:pos="9072"/>
        <w:tab w:val="left" w:pos="9639"/>
      </w:tabs>
      <w:spacing w:before="240" w:after="0"/>
    </w:pPr>
    <w:rPr>
      <w:rFonts w:ascii="Arial" w:hAnsi="Arial" w:eastAsia="宋体" w:cstheme="minorBidi"/>
      <w:spacing w:val="2"/>
      <w:kern w:val="2"/>
      <w:sz w:val="21"/>
      <w:szCs w:val="22"/>
      <w:lang w:val="en-GB" w:eastAsia="en-US"/>
    </w:rPr>
  </w:style>
  <w:style w:type="paragraph" w:customStyle="1" w:styleId="45">
    <w:name w:val="3GPP_Header"/>
    <w:basedOn w:val="1"/>
    <w:qFormat/>
    <w:uiPriority w:val="0"/>
    <w:pPr>
      <w:tabs>
        <w:tab w:val="left" w:pos="1701"/>
        <w:tab w:val="right" w:pos="9639"/>
      </w:tabs>
      <w:spacing w:after="240"/>
    </w:pPr>
    <w:rPr>
      <w:b/>
      <w:sz w:val="24"/>
    </w:rPr>
  </w:style>
  <w:style w:type="paragraph" w:customStyle="1" w:styleId="46">
    <w:name w:val="Reference"/>
    <w:basedOn w:val="1"/>
    <w:qFormat/>
    <w:uiPriority w:val="0"/>
    <w:pPr>
      <w:numPr>
        <w:ilvl w:val="0"/>
        <w:numId w:val="2"/>
      </w:numPr>
      <w:tabs>
        <w:tab w:val="left" w:pos="1701"/>
      </w:tabs>
    </w:pPr>
  </w:style>
  <w:style w:type="character" w:customStyle="1" w:styleId="47">
    <w:name w:val="Body Text Char"/>
    <w:basedOn w:val="24"/>
    <w:link w:val="16"/>
    <w:qFormat/>
    <w:uiPriority w:val="99"/>
    <w:rPr>
      <w:rFonts w:ascii="Times New Roman" w:hAnsi="Times New Roman" w:eastAsia="MS Mincho" w:cs="Times New Roman"/>
      <w:kern w:val="0"/>
      <w:sz w:val="22"/>
      <w:szCs w:val="24"/>
      <w:lang w:eastAsia="ja-JP"/>
    </w:rPr>
  </w:style>
  <w:style w:type="character" w:customStyle="1" w:styleId="48">
    <w:name w:val="Header Char"/>
    <w:basedOn w:val="24"/>
    <w:link w:val="19"/>
    <w:qFormat/>
    <w:uiPriority w:val="99"/>
    <w:rPr>
      <w:rFonts w:ascii="Times New Roman" w:hAnsi="Times New Roman" w:eastAsia="MS Mincho" w:cs="Times New Roman"/>
      <w:kern w:val="0"/>
      <w:sz w:val="18"/>
      <w:szCs w:val="18"/>
      <w:lang w:eastAsia="ja-JP"/>
    </w:rPr>
  </w:style>
  <w:style w:type="character" w:customStyle="1" w:styleId="49">
    <w:name w:val="Footer Char"/>
    <w:basedOn w:val="24"/>
    <w:link w:val="18"/>
    <w:qFormat/>
    <w:uiPriority w:val="99"/>
    <w:rPr>
      <w:rFonts w:ascii="Times New Roman" w:hAnsi="Times New Roman" w:eastAsia="MS Mincho" w:cs="Times New Roman"/>
      <w:kern w:val="0"/>
      <w:sz w:val="18"/>
      <w:szCs w:val="18"/>
      <w:lang w:eastAsia="ja-JP"/>
    </w:rPr>
  </w:style>
  <w:style w:type="character" w:customStyle="1" w:styleId="50">
    <w:name w:val="Comment Text Char"/>
    <w:basedOn w:val="24"/>
    <w:link w:val="15"/>
    <w:qFormat/>
    <w:uiPriority w:val="0"/>
    <w:rPr>
      <w:rFonts w:ascii="Times New Roman" w:hAnsi="Times New Roman" w:eastAsia="MS Mincho" w:cs="Times New Roman"/>
      <w:kern w:val="0"/>
      <w:sz w:val="22"/>
      <w:szCs w:val="24"/>
      <w:lang w:eastAsia="ja-JP"/>
    </w:rPr>
  </w:style>
  <w:style w:type="character" w:customStyle="1" w:styleId="51">
    <w:name w:val="Comment Subject Char"/>
    <w:basedOn w:val="50"/>
    <w:link w:val="21"/>
    <w:semiHidden/>
    <w:qFormat/>
    <w:uiPriority w:val="99"/>
    <w:rPr>
      <w:rFonts w:ascii="Times New Roman" w:hAnsi="Times New Roman" w:eastAsia="MS Mincho" w:cs="Times New Roman"/>
      <w:b/>
      <w:bCs/>
      <w:kern w:val="0"/>
      <w:sz w:val="22"/>
      <w:szCs w:val="24"/>
      <w:lang w:eastAsia="ja-JP"/>
    </w:rPr>
  </w:style>
  <w:style w:type="character" w:customStyle="1" w:styleId="52">
    <w:name w:val="Balloon Text Char"/>
    <w:basedOn w:val="24"/>
    <w:link w:val="17"/>
    <w:semiHidden/>
    <w:qFormat/>
    <w:uiPriority w:val="99"/>
    <w:rPr>
      <w:rFonts w:ascii="Times New Roman" w:hAnsi="Times New Roman" w:eastAsia="MS Mincho" w:cs="Times New Roman"/>
      <w:kern w:val="0"/>
      <w:sz w:val="18"/>
      <w:szCs w:val="18"/>
      <w:lang w:eastAsia="ja-JP"/>
    </w:rPr>
  </w:style>
  <w:style w:type="paragraph" w:customStyle="1" w:styleId="53">
    <w:name w:val="Observation"/>
    <w:basedOn w:val="40"/>
    <w:next w:val="1"/>
    <w:qFormat/>
    <w:uiPriority w:val="0"/>
    <w:pPr>
      <w:numPr>
        <w:ilvl w:val="0"/>
        <w:numId w:val="3"/>
      </w:numPr>
      <w:tabs>
        <w:tab w:val="left" w:pos="1701"/>
      </w:tabs>
      <w:overflowPunct w:val="0"/>
      <w:autoSpaceDE w:val="0"/>
      <w:autoSpaceDN w:val="0"/>
      <w:adjustRightInd w:val="0"/>
      <w:spacing w:line="259" w:lineRule="auto"/>
      <w:ind w:left="1710" w:hanging="1710"/>
      <w:textAlignment w:val="baseline"/>
    </w:pPr>
    <w:rPr>
      <w:rFonts w:ascii="Arial" w:hAnsi="Arial" w:eastAsiaTheme="minorEastAsia"/>
      <w:b/>
      <w:bCs/>
      <w:sz w:val="20"/>
      <w:szCs w:val="20"/>
      <w:lang w:val="en-GB"/>
    </w:rPr>
  </w:style>
  <w:style w:type="paragraph" w:customStyle="1" w:styleId="54">
    <w:name w:val="修订1"/>
    <w:hidden/>
    <w:semiHidden/>
    <w:qFormat/>
    <w:uiPriority w:val="99"/>
    <w:rPr>
      <w:rFonts w:ascii="Times New Roman" w:hAnsi="Times New Roman" w:eastAsia="MS Mincho" w:cs="Times New Roman"/>
      <w:sz w:val="22"/>
      <w:szCs w:val="24"/>
      <w:lang w:val="en-US" w:eastAsia="ja-JP" w:bidi="ar-SA"/>
    </w:rPr>
  </w:style>
  <w:style w:type="paragraph" w:customStyle="1" w:styleId="55">
    <w:name w:val="Agreement"/>
    <w:basedOn w:val="1"/>
    <w:next w:val="56"/>
    <w:qFormat/>
    <w:uiPriority w:val="99"/>
    <w:pPr>
      <w:numPr>
        <w:ilvl w:val="0"/>
        <w:numId w:val="4"/>
      </w:numPr>
      <w:spacing w:before="60" w:after="0"/>
    </w:pPr>
    <w:rPr>
      <w:rFonts w:ascii="Arial" w:hAnsi="Arial"/>
      <w:b/>
      <w:sz w:val="20"/>
      <w:lang w:val="en-GB" w:eastAsia="en-GB"/>
    </w:rPr>
  </w:style>
  <w:style w:type="paragraph" w:customStyle="1" w:styleId="56">
    <w:name w:val="Doc-text2"/>
    <w:basedOn w:val="1"/>
    <w:link w:val="60"/>
    <w:qFormat/>
    <w:uiPriority w:val="0"/>
    <w:pPr>
      <w:tabs>
        <w:tab w:val="left" w:pos="1622"/>
      </w:tabs>
      <w:spacing w:after="0"/>
      <w:ind w:left="1622" w:hanging="363"/>
    </w:pPr>
    <w:rPr>
      <w:rFonts w:ascii="Calibri" w:hAnsi="Calibri" w:eastAsia="Calibri" w:cs="Calibri"/>
      <w:szCs w:val="22"/>
      <w:lang w:eastAsia="en-US"/>
    </w:rPr>
  </w:style>
  <w:style w:type="paragraph" w:customStyle="1" w:styleId="57">
    <w:name w:val="列出段落2"/>
    <w:basedOn w:val="1"/>
    <w:qFormat/>
    <w:uiPriority w:val="0"/>
    <w:pPr>
      <w:spacing w:before="100" w:beforeAutospacing="1" w:after="180"/>
      <w:ind w:left="720"/>
      <w:contextualSpacing/>
    </w:pPr>
    <w:rPr>
      <w:rFonts w:eastAsia="宋体"/>
      <w:sz w:val="24"/>
      <w:lang w:eastAsia="zh-CN"/>
    </w:rPr>
  </w:style>
  <w:style w:type="paragraph" w:customStyle="1" w:styleId="58">
    <w:name w:val="Doc-title"/>
    <w:basedOn w:val="1"/>
    <w:next w:val="1"/>
    <w:link w:val="59"/>
    <w:qFormat/>
    <w:uiPriority w:val="0"/>
    <w:pPr>
      <w:spacing w:before="60" w:after="0"/>
      <w:ind w:left="1259" w:hanging="1259"/>
    </w:pPr>
    <w:rPr>
      <w:rFonts w:ascii="Arial" w:hAnsi="Arial"/>
      <w:sz w:val="20"/>
      <w:lang w:val="en-GB" w:eastAsia="en-GB"/>
    </w:rPr>
  </w:style>
  <w:style w:type="character" w:customStyle="1" w:styleId="59">
    <w:name w:val="Doc-title Char"/>
    <w:link w:val="58"/>
    <w:qFormat/>
    <w:uiPriority w:val="0"/>
    <w:rPr>
      <w:rFonts w:ascii="Arial" w:hAnsi="Arial" w:eastAsia="MS Mincho" w:cs="Times New Roman"/>
      <w:szCs w:val="24"/>
      <w:lang w:val="en-GB" w:eastAsia="en-GB"/>
    </w:rPr>
  </w:style>
  <w:style w:type="character" w:customStyle="1" w:styleId="60">
    <w:name w:val="Doc-text2 Char"/>
    <w:link w:val="56"/>
    <w:qFormat/>
    <w:uiPriority w:val="0"/>
    <w:rPr>
      <w:rFonts w:ascii="Calibri" w:hAnsi="Calibri" w:eastAsia="Calibri" w:cs="Calibri"/>
      <w:sz w:val="22"/>
      <w:szCs w:val="22"/>
      <w:lang w:eastAsia="en-US"/>
    </w:rPr>
  </w:style>
  <w:style w:type="paragraph" w:customStyle="1" w:styleId="61">
    <w:name w:val="TAH"/>
    <w:basedOn w:val="62"/>
    <w:link w:val="72"/>
    <w:qFormat/>
    <w:uiPriority w:val="0"/>
    <w:rPr>
      <w:b/>
    </w:rPr>
  </w:style>
  <w:style w:type="paragraph" w:customStyle="1" w:styleId="62">
    <w:name w:val="TAC"/>
    <w:basedOn w:val="63"/>
    <w:qFormat/>
    <w:uiPriority w:val="0"/>
    <w:pPr>
      <w:jc w:val="center"/>
    </w:pPr>
  </w:style>
  <w:style w:type="paragraph" w:customStyle="1" w:styleId="63">
    <w:name w:val="TAL"/>
    <w:basedOn w:val="1"/>
    <w:link w:val="71"/>
    <w:qFormat/>
    <w:uiPriority w:val="0"/>
    <w:pPr>
      <w:keepNext/>
      <w:keepLines/>
      <w:spacing w:after="0"/>
    </w:pPr>
    <w:rPr>
      <w:sz w:val="18"/>
    </w:rPr>
  </w:style>
  <w:style w:type="paragraph" w:customStyle="1" w:styleId="64">
    <w:name w:val="Revision1"/>
    <w:hidden/>
    <w:unhideWhenUsed/>
    <w:qFormat/>
    <w:uiPriority w:val="99"/>
    <w:rPr>
      <w:rFonts w:ascii="Times New Roman" w:hAnsi="Times New Roman" w:eastAsia="MS Mincho" w:cs="Times New Roman"/>
      <w:sz w:val="22"/>
      <w:szCs w:val="24"/>
      <w:lang w:val="en-US" w:eastAsia="ja-JP" w:bidi="ar-SA"/>
    </w:rPr>
  </w:style>
  <w:style w:type="paragraph" w:customStyle="1" w:styleId="65">
    <w:name w:val="TH"/>
    <w:basedOn w:val="1"/>
    <w:link w:val="66"/>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eastAsia="zh-CN"/>
    </w:rPr>
  </w:style>
  <w:style w:type="character" w:customStyle="1" w:styleId="66">
    <w:name w:val="TH Char"/>
    <w:link w:val="65"/>
    <w:qFormat/>
    <w:uiPriority w:val="0"/>
    <w:rPr>
      <w:rFonts w:ascii="Arial" w:hAnsi="Arial" w:eastAsia="Times New Roman"/>
      <w:b/>
      <w:lang w:val="en-GB"/>
    </w:rPr>
  </w:style>
  <w:style w:type="paragraph" w:customStyle="1" w:styleId="67">
    <w:name w:val="TF"/>
    <w:basedOn w:val="65"/>
    <w:link w:val="68"/>
    <w:qFormat/>
    <w:uiPriority w:val="0"/>
    <w:pPr>
      <w:keepNext w:val="0"/>
      <w:spacing w:before="0" w:after="240"/>
    </w:pPr>
  </w:style>
  <w:style w:type="character" w:customStyle="1" w:styleId="68">
    <w:name w:val="TF Char"/>
    <w:link w:val="67"/>
    <w:qFormat/>
    <w:uiPriority w:val="0"/>
    <w:rPr>
      <w:rFonts w:ascii="Arial" w:hAnsi="Arial" w:eastAsia="Times New Roman"/>
      <w:b/>
      <w:lang w:val="en-GB"/>
    </w:rPr>
  </w:style>
  <w:style w:type="paragraph" w:customStyle="1" w:styleId="69">
    <w:name w:val="PL"/>
    <w:link w:val="7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0">
    <w:name w:val="PL Char"/>
    <w:link w:val="69"/>
    <w:qFormat/>
    <w:uiPriority w:val="0"/>
    <w:rPr>
      <w:rFonts w:ascii="Courier New" w:hAnsi="Courier New" w:eastAsia="Times New Roman"/>
      <w:sz w:val="16"/>
      <w:shd w:val="clear" w:color="auto" w:fill="E6E6E6"/>
      <w:lang w:val="en-GB" w:eastAsia="en-GB"/>
    </w:rPr>
  </w:style>
  <w:style w:type="character" w:customStyle="1" w:styleId="71">
    <w:name w:val="TAL Car"/>
    <w:link w:val="63"/>
    <w:qFormat/>
    <w:uiPriority w:val="0"/>
    <w:rPr>
      <w:rFonts w:eastAsia="MS Mincho"/>
      <w:sz w:val="18"/>
      <w:szCs w:val="24"/>
      <w:lang w:eastAsia="ja-JP"/>
    </w:rPr>
  </w:style>
  <w:style w:type="character" w:customStyle="1" w:styleId="72">
    <w:name w:val="TAH Car"/>
    <w:link w:val="61"/>
    <w:qFormat/>
    <w:locked/>
    <w:uiPriority w:val="0"/>
    <w:rPr>
      <w:rFonts w:eastAsia="MS Mincho"/>
      <w:b/>
      <w:sz w:val="18"/>
      <w:szCs w:val="24"/>
      <w:lang w:eastAsia="ja-JP"/>
    </w:rPr>
  </w:style>
  <w:style w:type="character" w:customStyle="1" w:styleId="73">
    <w:name w:val="ng-star-inserted"/>
    <w:basedOn w:val="24"/>
    <w:qFormat/>
    <w:uiPriority w:val="0"/>
  </w:style>
  <w:style w:type="character" w:customStyle="1" w:styleId="74">
    <w:name w:val="italic"/>
    <w:basedOn w:val="24"/>
    <w:qFormat/>
    <w:uiPriority w:val="0"/>
  </w:style>
  <w:style w:type="paragraph" w:customStyle="1" w:styleId="75">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E8D50-D749-49EF-9499-96052284B14F}">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1636</Words>
  <Characters>9329</Characters>
  <Lines>77</Lines>
  <Paragraphs>21</Paragraphs>
  <TotalTime>3</TotalTime>
  <ScaleCrop>false</ScaleCrop>
  <LinksUpToDate>false</LinksUpToDate>
  <CharactersWithSpaces>10944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2025-05-21T17:20:00Z</dcterms:created>
  <dc:creator>Lenovo</dc:creator>
  <cp:lastModifiedBy>ZTE</cp:lastModifiedBy>
  <dcterms:modified xsi:type="dcterms:W3CDTF">2025-10-01T10:37:33Z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8FA31DDDEFF74DD9B16CDAE27F7F2911</vt:lpwstr>
  </property>
</Properties>
</file>